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71" w:rsidRPr="00DE2106" w:rsidRDefault="00FD5871" w:rsidP="00FD5871">
      <w:pPr>
        <w:rPr>
          <w:rFonts w:ascii="彩虹粗仿宋" w:eastAsia="彩虹粗仿宋"/>
          <w:b/>
          <w:color w:val="000000"/>
          <w:sz w:val="32"/>
          <w:szCs w:val="32"/>
        </w:rPr>
      </w:pP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中国建设银行青岛市分行“乾元-稳赢”(私募)固定收益类封闭式净值型人民币理财产品2018年第</w:t>
      </w:r>
      <w:r w:rsidR="0045470B">
        <w:rPr>
          <w:rFonts w:ascii="彩虹粗仿宋" w:eastAsia="彩虹粗仿宋" w:hint="eastAsia"/>
          <w:b/>
          <w:color w:val="000000"/>
          <w:sz w:val="32"/>
          <w:szCs w:val="32"/>
        </w:rPr>
        <w:t>2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期</w:t>
      </w:r>
      <w:r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FD5871" w:rsidRPr="0020073A" w:rsidRDefault="00FD5871" w:rsidP="0020073A">
      <w:pPr>
        <w:spacing w:line="480" w:lineRule="exact"/>
        <w:ind w:firstLineChars="200" w:firstLine="480"/>
        <w:jc w:val="center"/>
        <w:rPr>
          <w:rFonts w:ascii="彩虹粗仿宋" w:eastAsia="彩虹粗仿宋" w:hAnsi="宋体"/>
          <w:color w:val="000000"/>
          <w:sz w:val="24"/>
          <w:szCs w:val="24"/>
        </w:rPr>
      </w:pP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报告日：</w:t>
      </w:r>
      <w:r w:rsidR="00927C7E">
        <w:rPr>
          <w:rFonts w:ascii="彩虹粗仿宋" w:eastAsia="彩虹粗仿宋" w:hAnsi="宋体" w:hint="eastAsia"/>
          <w:color w:val="000000"/>
          <w:sz w:val="24"/>
          <w:szCs w:val="24"/>
        </w:rPr>
        <w:t>20</w:t>
      </w:r>
      <w:r w:rsidR="00EE433F">
        <w:rPr>
          <w:rFonts w:ascii="彩虹粗仿宋" w:eastAsia="彩虹粗仿宋" w:hAnsi="宋体" w:hint="eastAsia"/>
          <w:color w:val="000000"/>
          <w:sz w:val="24"/>
          <w:szCs w:val="24"/>
        </w:rPr>
        <w:t>20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年</w:t>
      </w:r>
      <w:r w:rsidR="00E466AA">
        <w:rPr>
          <w:rFonts w:ascii="彩虹粗仿宋" w:eastAsia="彩虹粗仿宋" w:hAnsi="宋体" w:hint="eastAsia"/>
          <w:color w:val="000000"/>
          <w:sz w:val="24"/>
          <w:szCs w:val="24"/>
        </w:rPr>
        <w:t>2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月</w:t>
      </w:r>
      <w:r w:rsidR="00E466AA">
        <w:rPr>
          <w:rFonts w:ascii="彩虹粗仿宋" w:eastAsia="彩虹粗仿宋" w:hAnsi="宋体" w:hint="eastAsia"/>
          <w:color w:val="000000"/>
          <w:sz w:val="24"/>
          <w:szCs w:val="24"/>
        </w:rPr>
        <w:t>29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日</w:t>
      </w:r>
    </w:p>
    <w:p w:rsidR="00FD5871" w:rsidRPr="00114BD6" w:rsidRDefault="00FD5871" w:rsidP="004B694C">
      <w:pPr>
        <w:rPr>
          <w:rFonts w:ascii="彩虹粗仿宋" w:eastAsia="彩虹粗仿宋" w:hAnsi="宋体" w:cs="宋体"/>
          <w:color w:val="000000"/>
          <w:kern w:val="0"/>
          <w:sz w:val="28"/>
          <w:szCs w:val="28"/>
        </w:rPr>
      </w:pP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中国建设银行青岛市分行“乾元-稳赢”(私募)固定收益类封闭式净值型人民币理财产品2018年第</w:t>
      </w:r>
      <w:r w:rsidR="0045470B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期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于201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8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45470B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45470B">
        <w:rPr>
          <w:rFonts w:ascii="彩虹粗仿宋" w:eastAsia="彩虹粗仿宋" w:hAnsi="宋体" w:hint="eastAsia"/>
          <w:color w:val="000000"/>
          <w:sz w:val="28"/>
          <w:szCs w:val="28"/>
        </w:rPr>
        <w:t>11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日正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式成立。截至报告日，目前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9E541A" w:rsidRPr="009E541A"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</w:t>
      </w:r>
      <w:r w:rsidR="00114BD6">
        <w:rPr>
          <w:rFonts w:ascii="彩虹粗仿宋" w:eastAsia="彩虹粗仿宋" w:hAnsi="宋体" w:cs="宋体" w:hint="eastAsia"/>
          <w:color w:val="000000"/>
          <w:kern w:val="0"/>
          <w:sz w:val="28"/>
          <w:szCs w:val="28"/>
        </w:rPr>
        <w:t>198,387,798.28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一、报告期投资者实际收益率</w:t>
      </w:r>
    </w:p>
    <w:p w:rsidR="00FD5871" w:rsidRPr="00FD5871" w:rsidRDefault="00FD5871" w:rsidP="004B694C">
      <w:pPr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4B694C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E466AA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E466AA">
        <w:rPr>
          <w:rFonts w:ascii="彩虹粗仿宋" w:eastAsia="彩虹粗仿宋" w:hAnsi="宋体" w:hint="eastAsia"/>
          <w:color w:val="000000"/>
          <w:sz w:val="28"/>
          <w:szCs w:val="28"/>
        </w:rPr>
        <w:t>29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114BD6">
        <w:rPr>
          <w:rFonts w:ascii="彩虹粗仿宋" w:eastAsia="彩虹粗仿宋" w:hAnsi="宋体" w:cs="宋体" w:hint="eastAsia"/>
          <w:color w:val="000000"/>
          <w:kern w:val="0"/>
          <w:sz w:val="28"/>
          <w:szCs w:val="28"/>
        </w:rPr>
        <w:t>1.082312</w:t>
      </w:r>
      <w:r w:rsidR="00F10AFE">
        <w:rPr>
          <w:rFonts w:ascii="彩虹粗仿宋" w:eastAsia="彩虹粗仿宋" w:hint="eastAsia"/>
          <w:sz w:val="32"/>
          <w:szCs w:val="32"/>
        </w:rPr>
        <w:t>元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 xml:space="preserve"> 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二、产品投资组合详细情况</w:t>
      </w:r>
    </w:p>
    <w:p w:rsidR="00A90C3C" w:rsidRDefault="00FD5871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DA31EC">
        <w:rPr>
          <w:rFonts w:ascii="彩虹粗仿宋" w:eastAsia="彩虹粗仿宋" w:hAnsi="宋体" w:hint="eastAsia"/>
          <w:color w:val="000000"/>
          <w:sz w:val="28"/>
          <w:szCs w:val="28"/>
        </w:rPr>
        <w:t>2020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E466AA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E466AA">
        <w:rPr>
          <w:rFonts w:ascii="彩虹粗仿宋" w:eastAsia="彩虹粗仿宋" w:hAnsi="宋体" w:hint="eastAsia"/>
          <w:color w:val="000000"/>
          <w:sz w:val="28"/>
          <w:szCs w:val="28"/>
        </w:rPr>
        <w:t>29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青岛</w:t>
      </w:r>
      <w:r w:rsidR="0045470B" w:rsidRPr="0045470B">
        <w:rPr>
          <w:rFonts w:ascii="彩虹粗仿宋" w:eastAsia="彩虹粗仿宋" w:hAnsi="宋体" w:hint="eastAsia"/>
          <w:color w:val="000000"/>
          <w:sz w:val="28"/>
          <w:szCs w:val="28"/>
        </w:rPr>
        <w:t>畅远置业有限公司所持有的存货收益权</w:t>
      </w:r>
      <w:r w:rsidR="00A90C3C">
        <w:rPr>
          <w:rFonts w:ascii="彩虹粗仿宋" w:eastAsia="彩虹粗仿宋" w:hAnsi="宋体" w:hint="eastAsia"/>
          <w:color w:val="000000"/>
          <w:sz w:val="28"/>
          <w:szCs w:val="28"/>
        </w:rPr>
        <w:t>，具体非标准化债权资产信息如下：</w:t>
      </w:r>
    </w:p>
    <w:p w:rsidR="009D0077" w:rsidRDefault="009D0077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"/>
        <w:gridCol w:w="785"/>
        <w:gridCol w:w="1105"/>
        <w:gridCol w:w="706"/>
        <w:gridCol w:w="711"/>
        <w:gridCol w:w="4749"/>
      </w:tblGrid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剩余融资期限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1</w:t>
            </w:r>
          </w:p>
        </w:tc>
        <w:tc>
          <w:tcPr>
            <w:tcW w:w="0" w:type="auto"/>
            <w:vAlign w:val="center"/>
          </w:tcPr>
          <w:p w:rsidR="00A90C3C" w:rsidRPr="00B161D4" w:rsidRDefault="0045470B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青岛畅远置业有限公司</w:t>
            </w:r>
          </w:p>
        </w:tc>
        <w:tc>
          <w:tcPr>
            <w:tcW w:w="0" w:type="auto"/>
            <w:vAlign w:val="center"/>
          </w:tcPr>
          <w:p w:rsidR="00A90C3C" w:rsidRPr="00B161D4" w:rsidRDefault="0045470B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青岛畅远</w:t>
            </w:r>
            <w:r w:rsidR="00A90C3C"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置业有限公司非标准化债权资产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D015AB" w:rsidP="009809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183</w:t>
            </w:r>
            <w:bookmarkStart w:id="0" w:name="_GoBack"/>
            <w:bookmarkEnd w:id="0"/>
            <w:r w:rsidR="00A90C3C"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0" w:type="auto"/>
            <w:vAlign w:val="center"/>
          </w:tcPr>
          <w:p w:rsidR="00A90C3C" w:rsidRPr="00064F96" w:rsidRDefault="0045470B" w:rsidP="0056272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投资于青岛畅远置业有限公司所持有的存货收益权，资金用于支付、置换中北</w:t>
            </w:r>
            <w:proofErr w:type="gramStart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崂</w:t>
            </w:r>
            <w:proofErr w:type="gramEnd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片区城镇化改造拆迁补偿款及用于归还企业因前期支付拆迁补偿</w:t>
            </w:r>
            <w:proofErr w:type="gramStart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款产生</w:t>
            </w:r>
            <w:proofErr w:type="gramEnd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的股东借款。</w:t>
            </w:r>
            <w:proofErr w:type="gramStart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本笔非</w:t>
            </w:r>
            <w:proofErr w:type="gramEnd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标准化债权类资产由青岛海尔地产集团有限公司提供连带责任保证。</w:t>
            </w:r>
            <w:r w:rsidR="00A90C3C" w:rsidRPr="009B3473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90C3C" w:rsidRPr="00A90C3C" w:rsidRDefault="00A90C3C" w:rsidP="00A90C3C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三、产品整体运作情况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（2）截至本报告日，所有投资资产正常运营，未发现有异常情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lastRenderedPageBreak/>
        <w:t>况或者不利情况。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FD5871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</w:p>
    <w:p w:rsidR="00FD5871" w:rsidRDefault="005C7E05" w:rsidP="0020073A">
      <w:pPr>
        <w:spacing w:line="360" w:lineRule="auto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A244F6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5515D8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5515D8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FD5871" w:rsidRDefault="00FD5871" w:rsidP="00FD5871"/>
    <w:sectPr w:rsidR="00FD5871" w:rsidSect="00C16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4B" w:rsidRDefault="008D494B" w:rsidP="0020073A">
      <w:r>
        <w:separator/>
      </w:r>
    </w:p>
  </w:endnote>
  <w:endnote w:type="continuationSeparator" w:id="0">
    <w:p w:rsidR="008D494B" w:rsidRDefault="008D494B" w:rsidP="0020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4B" w:rsidRDefault="008D494B" w:rsidP="0020073A">
      <w:r>
        <w:separator/>
      </w:r>
    </w:p>
  </w:footnote>
  <w:footnote w:type="continuationSeparator" w:id="0">
    <w:p w:rsidR="008D494B" w:rsidRDefault="008D494B" w:rsidP="0020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71"/>
    <w:rsid w:val="00004924"/>
    <w:rsid w:val="000077AC"/>
    <w:rsid w:val="0002020F"/>
    <w:rsid w:val="00020D2A"/>
    <w:rsid w:val="00044E62"/>
    <w:rsid w:val="0006512F"/>
    <w:rsid w:val="00083755"/>
    <w:rsid w:val="000D5A32"/>
    <w:rsid w:val="00114BD6"/>
    <w:rsid w:val="00137E61"/>
    <w:rsid w:val="0020073A"/>
    <w:rsid w:val="00207E24"/>
    <w:rsid w:val="0021132D"/>
    <w:rsid w:val="0021690B"/>
    <w:rsid w:val="002423ED"/>
    <w:rsid w:val="002638B3"/>
    <w:rsid w:val="0028115D"/>
    <w:rsid w:val="002A3A8D"/>
    <w:rsid w:val="002E2D41"/>
    <w:rsid w:val="002F05D7"/>
    <w:rsid w:val="00305648"/>
    <w:rsid w:val="0031449D"/>
    <w:rsid w:val="00326C47"/>
    <w:rsid w:val="00333AED"/>
    <w:rsid w:val="00343085"/>
    <w:rsid w:val="003819D4"/>
    <w:rsid w:val="00382E4B"/>
    <w:rsid w:val="003D440E"/>
    <w:rsid w:val="003F408C"/>
    <w:rsid w:val="00432977"/>
    <w:rsid w:val="00437EAC"/>
    <w:rsid w:val="0045470B"/>
    <w:rsid w:val="004661F4"/>
    <w:rsid w:val="004A405D"/>
    <w:rsid w:val="004B06A8"/>
    <w:rsid w:val="004B694C"/>
    <w:rsid w:val="00500947"/>
    <w:rsid w:val="00517E97"/>
    <w:rsid w:val="005515D8"/>
    <w:rsid w:val="005560AC"/>
    <w:rsid w:val="00562ABD"/>
    <w:rsid w:val="005806ED"/>
    <w:rsid w:val="005B0AAA"/>
    <w:rsid w:val="005B1437"/>
    <w:rsid w:val="005B47F6"/>
    <w:rsid w:val="005C7E05"/>
    <w:rsid w:val="00615217"/>
    <w:rsid w:val="0065251E"/>
    <w:rsid w:val="00676885"/>
    <w:rsid w:val="006A5A7A"/>
    <w:rsid w:val="0072115F"/>
    <w:rsid w:val="007426BA"/>
    <w:rsid w:val="007513BC"/>
    <w:rsid w:val="007D6213"/>
    <w:rsid w:val="007F3635"/>
    <w:rsid w:val="00822D52"/>
    <w:rsid w:val="00863809"/>
    <w:rsid w:val="00886E98"/>
    <w:rsid w:val="008D494B"/>
    <w:rsid w:val="008E1E84"/>
    <w:rsid w:val="008F03D5"/>
    <w:rsid w:val="008F4C2B"/>
    <w:rsid w:val="009038FB"/>
    <w:rsid w:val="00927C7E"/>
    <w:rsid w:val="00951AC6"/>
    <w:rsid w:val="0098099D"/>
    <w:rsid w:val="009A57D7"/>
    <w:rsid w:val="009D0077"/>
    <w:rsid w:val="009E255D"/>
    <w:rsid w:val="009E541A"/>
    <w:rsid w:val="00A10455"/>
    <w:rsid w:val="00A244F6"/>
    <w:rsid w:val="00A766B3"/>
    <w:rsid w:val="00A90C3C"/>
    <w:rsid w:val="00AA6092"/>
    <w:rsid w:val="00AC3497"/>
    <w:rsid w:val="00AE1F16"/>
    <w:rsid w:val="00B21363"/>
    <w:rsid w:val="00BE4BDA"/>
    <w:rsid w:val="00BF371E"/>
    <w:rsid w:val="00C125EB"/>
    <w:rsid w:val="00C16074"/>
    <w:rsid w:val="00C16E4F"/>
    <w:rsid w:val="00C2102A"/>
    <w:rsid w:val="00C85D1B"/>
    <w:rsid w:val="00CA6546"/>
    <w:rsid w:val="00CE73DB"/>
    <w:rsid w:val="00CF2CD6"/>
    <w:rsid w:val="00D015AB"/>
    <w:rsid w:val="00D01AA3"/>
    <w:rsid w:val="00D15BAF"/>
    <w:rsid w:val="00D26CC8"/>
    <w:rsid w:val="00D74069"/>
    <w:rsid w:val="00D75E16"/>
    <w:rsid w:val="00DA31EC"/>
    <w:rsid w:val="00DA3BE4"/>
    <w:rsid w:val="00DE5D04"/>
    <w:rsid w:val="00DF26B2"/>
    <w:rsid w:val="00DF2770"/>
    <w:rsid w:val="00E06F57"/>
    <w:rsid w:val="00E466AA"/>
    <w:rsid w:val="00EC4550"/>
    <w:rsid w:val="00ED710D"/>
    <w:rsid w:val="00EE433F"/>
    <w:rsid w:val="00F10AFE"/>
    <w:rsid w:val="00F10DD8"/>
    <w:rsid w:val="00F54BB6"/>
    <w:rsid w:val="00F579CF"/>
    <w:rsid w:val="00F6020F"/>
    <w:rsid w:val="00F969F6"/>
    <w:rsid w:val="00FD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8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587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0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073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0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073A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A90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BC9E-2CD4-41CF-9D93-2D0199F7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投资银行业务部</dc:creator>
  <cp:lastModifiedBy>投资银行业务部</cp:lastModifiedBy>
  <cp:revision>50</cp:revision>
  <dcterms:created xsi:type="dcterms:W3CDTF">2018-08-02T08:17:00Z</dcterms:created>
  <dcterms:modified xsi:type="dcterms:W3CDTF">2020-02-27T06:58:00Z</dcterms:modified>
</cp:coreProperties>
</file>