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8E" w:rsidRPr="000A2AC6" w:rsidRDefault="00803CF9" w:rsidP="00803CF9">
      <w:pPr>
        <w:widowControl/>
        <w:spacing w:before="100" w:beforeAutospacing="1"/>
        <w:jc w:val="center"/>
        <w:outlineLvl w:val="1"/>
        <w:rPr>
          <w:rFonts w:asciiTheme="majorEastAsia" w:eastAsiaTheme="majorEastAsia" w:hAnsiTheme="majorEastAsia" w:cs="Arial"/>
          <w:b/>
          <w:bCs/>
          <w:color w:val="666666"/>
          <w:kern w:val="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河北省分行</w:t>
      </w:r>
      <w:r w:rsidR="000A2AC6" w:rsidRPr="000A2AC6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“乾元</w:t>
      </w:r>
      <w:r w:rsidR="009D5E02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通宝</w:t>
      </w:r>
      <w:r w:rsidR="000A2AC6" w:rsidRPr="000A2AC6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-全鑫全溢”（按日）开放式资产组合型人民币理财产品</w:t>
      </w:r>
      <w:r w:rsidR="0058297B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2018年</w:t>
      </w:r>
      <w:r w:rsidR="00EF4765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12</w:t>
      </w:r>
      <w:r w:rsidR="0058297B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月</w:t>
      </w:r>
      <w:r w:rsidR="000A2AC6" w:rsidRPr="000A2AC6">
        <w:rPr>
          <w:rFonts w:asciiTheme="majorEastAsia" w:eastAsiaTheme="majorEastAsia" w:hAnsiTheme="majorEastAsia" w:cs="Arial" w:hint="eastAsia"/>
          <w:b/>
          <w:bCs/>
          <w:color w:val="666666"/>
          <w:kern w:val="0"/>
          <w:sz w:val="32"/>
          <w:szCs w:val="32"/>
        </w:rPr>
        <w:t>投资管理报告</w:t>
      </w:r>
    </w:p>
    <w:p w:rsidR="00374CBE" w:rsidRPr="0058297B" w:rsidRDefault="00374CBE" w:rsidP="000A2AC6">
      <w:pPr>
        <w:widowControl/>
        <w:spacing w:line="460" w:lineRule="exact"/>
        <w:ind w:firstLineChars="200" w:firstLine="480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</w:p>
    <w:p w:rsidR="000A2AC6" w:rsidRDefault="000A2AC6" w:rsidP="000A2AC6">
      <w:pPr>
        <w:widowControl/>
        <w:spacing w:line="460" w:lineRule="exact"/>
        <w:ind w:firstLineChars="200" w:firstLine="480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报告日：</w:t>
      </w:r>
      <w:r w:rsidR="00EF4765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2019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EF4765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EF4765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10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</w:t>
      </w:r>
    </w:p>
    <w:p w:rsidR="00972C8C" w:rsidRPr="000A2AC6" w:rsidRDefault="00972C8C" w:rsidP="000A2AC6">
      <w:pPr>
        <w:widowControl/>
        <w:spacing w:line="460" w:lineRule="exact"/>
        <w:ind w:firstLineChars="200" w:firstLine="480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0A2AC6" w:rsidRPr="00A073B6" w:rsidRDefault="009906C9" w:rsidP="005C2CAC">
      <w:pPr>
        <w:ind w:firstLineChars="200" w:firstLine="480"/>
        <w:jc w:val="left"/>
        <w:rPr>
          <w:rFonts w:ascii="宋体" w:eastAsia="宋体" w:hAnsi="宋体" w:cs="宋体"/>
          <w:b/>
          <w:bCs/>
          <w:kern w:val="0"/>
          <w:sz w:val="20"/>
          <w:szCs w:val="20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中国建设银行河北省分行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“乾元</w:t>
      </w:r>
      <w:r w:rsidR="009D5E02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通宝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-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全鑫全溢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”（按日）开放式资产组合型人民币理财产品于201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6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6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日正式成立。截至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</w:t>
      </w:r>
      <w:r w:rsidR="00816291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EF4765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12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9E09D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3</w:t>
      </w:r>
      <w:r w:rsidR="00072E97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</w:t>
      </w:r>
      <w:r w:rsidR="000A2AC6"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，本产品规模为</w:t>
      </w:r>
      <w:r w:rsidR="00A555DD" w:rsidRPr="00A555DD"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  <w:t>754,338.95</w:t>
      </w:r>
      <w:r w:rsidR="0058297B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万</w:t>
      </w:r>
      <w:r w:rsidR="000A2AC6" w:rsidRPr="00A073B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元。</w:t>
      </w:r>
    </w:p>
    <w:p w:rsidR="000A2AC6" w:rsidRPr="000A2AC6" w:rsidRDefault="000A2AC6" w:rsidP="000A2AC6">
      <w:pPr>
        <w:widowControl/>
        <w:spacing w:line="460" w:lineRule="exact"/>
        <w:ind w:firstLineChars="200" w:firstLine="482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0A2AC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一、报告期投资者实际收益率</w:t>
      </w:r>
    </w:p>
    <w:p w:rsidR="0086611E" w:rsidRPr="00705DED" w:rsidRDefault="0086611E" w:rsidP="0086611E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根据产品说明书的约定，201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A555DD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12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日至201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8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A555DD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12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A555DD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31</w:t>
      </w: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日投资者实际收益率如下表所示：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 xml:space="preserve"> </w:t>
      </w:r>
    </w:p>
    <w:tbl>
      <w:tblPr>
        <w:tblW w:w="4842" w:type="pct"/>
        <w:jc w:val="center"/>
        <w:tblInd w:w="-318" w:type="dxa"/>
        <w:tblLook w:val="04A0" w:firstRow="1" w:lastRow="0" w:firstColumn="1" w:lastColumn="0" w:noHBand="0" w:noVBand="1"/>
      </w:tblPr>
      <w:tblGrid>
        <w:gridCol w:w="1531"/>
        <w:gridCol w:w="1334"/>
        <w:gridCol w:w="1276"/>
        <w:gridCol w:w="1418"/>
        <w:gridCol w:w="1418"/>
        <w:gridCol w:w="1276"/>
      </w:tblGrid>
      <w:tr w:rsidR="0086611E" w:rsidRPr="000A2AC6" w:rsidTr="006F43EB">
        <w:trPr>
          <w:trHeight w:val="270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1E" w:rsidRPr="000A2AC6" w:rsidRDefault="0086611E" w:rsidP="006F43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投资期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1E" w:rsidRPr="000A2AC6" w:rsidRDefault="0086611E" w:rsidP="006F43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1≤T&lt;30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1E" w:rsidRPr="000A2AC6" w:rsidRDefault="0086611E" w:rsidP="006F43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30≤T&lt;90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1E" w:rsidRPr="000A2AC6" w:rsidRDefault="0086611E" w:rsidP="006F43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90≤T&lt;180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1E" w:rsidRPr="000A2AC6" w:rsidRDefault="0086611E" w:rsidP="006F43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180≤T&lt;365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1E" w:rsidRPr="000A2AC6" w:rsidRDefault="0086611E" w:rsidP="006F43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T≥365</w:t>
            </w:r>
          </w:p>
        </w:tc>
      </w:tr>
      <w:tr w:rsidR="00A555DD" w:rsidRPr="000A2AC6" w:rsidTr="00A555DD">
        <w:trPr>
          <w:trHeight w:val="510"/>
          <w:jc w:val="center"/>
        </w:trPr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DD" w:rsidRPr="000A2AC6" w:rsidRDefault="00A555DD" w:rsidP="006F43E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526F0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投资者实际收益率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DD" w:rsidRPr="00A555DD" w:rsidRDefault="00A555DD" w:rsidP="00A555D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555DD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2.80%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DD" w:rsidRPr="00A555DD" w:rsidRDefault="00A555DD" w:rsidP="00A555D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555DD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3.00%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DD" w:rsidRPr="00A555DD" w:rsidRDefault="00A555DD" w:rsidP="00A555D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555DD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3.20%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DD" w:rsidRPr="00A555DD" w:rsidRDefault="00A555DD" w:rsidP="00A555D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555DD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3.40%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5DD" w:rsidRPr="00A555DD" w:rsidRDefault="00A555DD" w:rsidP="00A555DD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A555DD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3.70%</w:t>
            </w:r>
          </w:p>
        </w:tc>
      </w:tr>
    </w:tbl>
    <w:p w:rsidR="000A2AC6" w:rsidRPr="000A2AC6" w:rsidRDefault="000A2AC6" w:rsidP="0086611E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其中：T为投资期，单位：天</w:t>
      </w:r>
    </w:p>
    <w:p w:rsidR="00816291" w:rsidRPr="00A073B6" w:rsidRDefault="000A2AC6" w:rsidP="0086611E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0A2AC6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相关收益及计算方法，请具体查阅对应的收益率调整公告及产品说明书。</w:t>
      </w:r>
    </w:p>
    <w:p w:rsidR="00D963BB" w:rsidRPr="00374CBE" w:rsidRDefault="000A2AC6" w:rsidP="00A073B6">
      <w:pPr>
        <w:widowControl/>
        <w:spacing w:line="460" w:lineRule="exact"/>
        <w:ind w:firstLineChars="200" w:firstLine="482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1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二、产品</w:t>
      </w:r>
      <w:r w:rsidR="0066332E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资产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投资组合</w:t>
      </w:r>
      <w:r w:rsidRPr="000A2AC6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情况</w:t>
      </w:r>
    </w:p>
    <w:p w:rsidR="00A073B6" w:rsidRDefault="005C2CAC" w:rsidP="008734EB">
      <w:pPr>
        <w:widowControl/>
        <w:spacing w:line="240" w:lineRule="atLeast"/>
        <w:jc w:val="left"/>
        <w:rPr>
          <w:rFonts w:asciiTheme="minorEastAsia" w:hAnsiTheme="minorEastAsia" w:cs="宋体"/>
          <w:b/>
          <w:color w:val="000000" w:themeColor="text1"/>
          <w:kern w:val="0"/>
          <w:sz w:val="24"/>
          <w:szCs w:val="21"/>
        </w:rPr>
      </w:pPr>
      <w:r>
        <w:rPr>
          <w:noProof/>
        </w:rPr>
        <w:drawing>
          <wp:inline distT="0" distB="0" distL="0" distR="0" wp14:anchorId="44A1427C" wp14:editId="501EE8CC">
            <wp:extent cx="5356860" cy="2743200"/>
            <wp:effectExtent l="0" t="0" r="15240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5C13" w:rsidRPr="009C6B39" w:rsidRDefault="00A45C13" w:rsidP="00A45C13">
      <w:pPr>
        <w:widowControl/>
        <w:spacing w:line="460" w:lineRule="exact"/>
        <w:ind w:firstLineChars="200" w:firstLine="482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三、产品</w:t>
      </w:r>
      <w:proofErr w:type="gramStart"/>
      <w:r w:rsidRPr="009C6B39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体运作</w:t>
      </w:r>
      <w:proofErr w:type="gramEnd"/>
      <w:r w:rsidRPr="009C6B39">
        <w:rPr>
          <w:rFonts w:asciiTheme="minorEastAsia" w:hAnsiTheme="minorEastAsia" w:cs="宋体" w:hint="eastAsia"/>
          <w:b/>
          <w:color w:val="000000" w:themeColor="text1"/>
          <w:kern w:val="0"/>
          <w:sz w:val="24"/>
          <w:szCs w:val="21"/>
        </w:rPr>
        <w:t>情况</w:t>
      </w:r>
    </w:p>
    <w:p w:rsidR="00A45C13" w:rsidRPr="009C6B39" w:rsidRDefault="00A45C13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lastRenderedPageBreak/>
        <w:t>（1）自本产品成立起至本报告日，产品管理人恪尽职守、勤勉尽责、谨慎管理，忠实履行有关法律、行政法规和相关文件的规定。</w:t>
      </w:r>
    </w:p>
    <w:p w:rsidR="00A45C13" w:rsidRPr="009C6B39" w:rsidRDefault="00A45C13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（2）截至本报告日，所有投资资产正常运营，未发现有异常情况或者不利情况。</w:t>
      </w:r>
    </w:p>
    <w:p w:rsidR="00A45C13" w:rsidRDefault="00A45C13" w:rsidP="00A45C13">
      <w:pPr>
        <w:widowControl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1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（3）本产品自成立至本报告日，没有发生涉诉及诉讼等损害投资者利益的情形。</w:t>
      </w:r>
    </w:p>
    <w:p w:rsidR="00A45C13" w:rsidRDefault="00A45C13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691A08" w:rsidRDefault="00691A08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691A08" w:rsidRDefault="00691A08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691A08" w:rsidRPr="00691A08" w:rsidRDefault="00691A08" w:rsidP="00A45C13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A45C13" w:rsidRPr="009C6B39" w:rsidRDefault="00A45C13" w:rsidP="00A45C13">
      <w:pPr>
        <w:widowControl/>
        <w:spacing w:line="460" w:lineRule="exact"/>
        <w:ind w:firstLineChars="200" w:firstLine="480"/>
        <w:jc w:val="righ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中国建设银行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河北省分行</w:t>
      </w:r>
    </w:p>
    <w:p w:rsidR="00A45C13" w:rsidRPr="009C6B39" w:rsidRDefault="00A45C13" w:rsidP="00A45C13">
      <w:pPr>
        <w:widowControl/>
        <w:spacing w:line="460" w:lineRule="exact"/>
        <w:ind w:right="360" w:firstLineChars="200" w:firstLine="480"/>
        <w:jc w:val="righ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201</w:t>
      </w:r>
      <w:r w:rsidR="005C2CAC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9</w:t>
      </w: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年</w:t>
      </w:r>
      <w:r w:rsidR="005C2CAC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</w:t>
      </w: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月</w:t>
      </w:r>
      <w:r w:rsidR="005C2CAC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10</w:t>
      </w:r>
      <w:r w:rsidRPr="009C6B39">
        <w:rPr>
          <w:rFonts w:asciiTheme="minorEastAsia" w:hAnsiTheme="minorEastAsia" w:cs="宋体" w:hint="eastAsia"/>
          <w:color w:val="000000" w:themeColor="text1"/>
          <w:kern w:val="0"/>
          <w:sz w:val="24"/>
          <w:szCs w:val="21"/>
        </w:rPr>
        <w:t>日</w:t>
      </w:r>
      <w:bookmarkStart w:id="0" w:name="_GoBack"/>
      <w:bookmarkEnd w:id="0"/>
    </w:p>
    <w:p w:rsidR="00A45C13" w:rsidRPr="000A2AC6" w:rsidRDefault="00A45C13" w:rsidP="00A45C13">
      <w:pPr>
        <w:jc w:val="left"/>
      </w:pPr>
    </w:p>
    <w:sectPr w:rsidR="00A45C13" w:rsidRPr="000A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F2" w:rsidRDefault="00243BF2" w:rsidP="00676160">
      <w:r>
        <w:separator/>
      </w:r>
    </w:p>
  </w:endnote>
  <w:endnote w:type="continuationSeparator" w:id="0">
    <w:p w:rsidR="00243BF2" w:rsidRDefault="00243BF2" w:rsidP="0067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F2" w:rsidRDefault="00243BF2" w:rsidP="00676160">
      <w:r>
        <w:separator/>
      </w:r>
    </w:p>
  </w:footnote>
  <w:footnote w:type="continuationSeparator" w:id="0">
    <w:p w:rsidR="00243BF2" w:rsidRDefault="00243BF2" w:rsidP="00676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00"/>
    <w:rsid w:val="000275E0"/>
    <w:rsid w:val="000363FD"/>
    <w:rsid w:val="00052F87"/>
    <w:rsid w:val="00072E97"/>
    <w:rsid w:val="00081277"/>
    <w:rsid w:val="000A2AC6"/>
    <w:rsid w:val="000C37DF"/>
    <w:rsid w:val="000E7C90"/>
    <w:rsid w:val="000F06BA"/>
    <w:rsid w:val="000F1234"/>
    <w:rsid w:val="000F6746"/>
    <w:rsid w:val="0013018C"/>
    <w:rsid w:val="0015560A"/>
    <w:rsid w:val="001D1DA6"/>
    <w:rsid w:val="00215FF8"/>
    <w:rsid w:val="00243BF2"/>
    <w:rsid w:val="002446B4"/>
    <w:rsid w:val="00251EAF"/>
    <w:rsid w:val="00254085"/>
    <w:rsid w:val="002827CB"/>
    <w:rsid w:val="002D7DD8"/>
    <w:rsid w:val="002E1B9E"/>
    <w:rsid w:val="00374CBE"/>
    <w:rsid w:val="0039525F"/>
    <w:rsid w:val="003F7A3C"/>
    <w:rsid w:val="004204F1"/>
    <w:rsid w:val="00434997"/>
    <w:rsid w:val="0046626C"/>
    <w:rsid w:val="0047513F"/>
    <w:rsid w:val="004A0C3D"/>
    <w:rsid w:val="00525D17"/>
    <w:rsid w:val="00540B7F"/>
    <w:rsid w:val="0058297B"/>
    <w:rsid w:val="005979A1"/>
    <w:rsid w:val="005B55F9"/>
    <w:rsid w:val="005C2CAC"/>
    <w:rsid w:val="005C3211"/>
    <w:rsid w:val="005F1929"/>
    <w:rsid w:val="006416C9"/>
    <w:rsid w:val="00647B26"/>
    <w:rsid w:val="0066332E"/>
    <w:rsid w:val="00676160"/>
    <w:rsid w:val="00681773"/>
    <w:rsid w:val="0068367E"/>
    <w:rsid w:val="00691A08"/>
    <w:rsid w:val="006A5498"/>
    <w:rsid w:val="006A6309"/>
    <w:rsid w:val="006B5087"/>
    <w:rsid w:val="006F3D62"/>
    <w:rsid w:val="006F6520"/>
    <w:rsid w:val="00705DED"/>
    <w:rsid w:val="00714DC0"/>
    <w:rsid w:val="007263F7"/>
    <w:rsid w:val="00763733"/>
    <w:rsid w:val="00786DA0"/>
    <w:rsid w:val="00803CF9"/>
    <w:rsid w:val="00807DA8"/>
    <w:rsid w:val="00810536"/>
    <w:rsid w:val="00816291"/>
    <w:rsid w:val="00822697"/>
    <w:rsid w:val="0083240B"/>
    <w:rsid w:val="008433B2"/>
    <w:rsid w:val="00844EBF"/>
    <w:rsid w:val="0086611E"/>
    <w:rsid w:val="008734EB"/>
    <w:rsid w:val="00886531"/>
    <w:rsid w:val="008905C7"/>
    <w:rsid w:val="008E30DE"/>
    <w:rsid w:val="008E3805"/>
    <w:rsid w:val="0090464D"/>
    <w:rsid w:val="00921533"/>
    <w:rsid w:val="00932045"/>
    <w:rsid w:val="00935E81"/>
    <w:rsid w:val="00944B95"/>
    <w:rsid w:val="00972C8C"/>
    <w:rsid w:val="0098700A"/>
    <w:rsid w:val="009906C9"/>
    <w:rsid w:val="009C6B39"/>
    <w:rsid w:val="009D4BC2"/>
    <w:rsid w:val="009D5E02"/>
    <w:rsid w:val="009E09DB"/>
    <w:rsid w:val="00A073B6"/>
    <w:rsid w:val="00A45C13"/>
    <w:rsid w:val="00A555DD"/>
    <w:rsid w:val="00AA5B14"/>
    <w:rsid w:val="00B170CF"/>
    <w:rsid w:val="00B5721F"/>
    <w:rsid w:val="00B8508E"/>
    <w:rsid w:val="00BB20DF"/>
    <w:rsid w:val="00BE04F9"/>
    <w:rsid w:val="00C058C5"/>
    <w:rsid w:val="00C7039B"/>
    <w:rsid w:val="00CB56EC"/>
    <w:rsid w:val="00CB5A41"/>
    <w:rsid w:val="00CE6309"/>
    <w:rsid w:val="00D072D8"/>
    <w:rsid w:val="00D476B4"/>
    <w:rsid w:val="00D878D2"/>
    <w:rsid w:val="00D94BFF"/>
    <w:rsid w:val="00D963BB"/>
    <w:rsid w:val="00E21400"/>
    <w:rsid w:val="00E54BDE"/>
    <w:rsid w:val="00E62BA3"/>
    <w:rsid w:val="00E718E0"/>
    <w:rsid w:val="00EE3662"/>
    <w:rsid w:val="00EF2FB4"/>
    <w:rsid w:val="00EF4765"/>
    <w:rsid w:val="00F211F4"/>
    <w:rsid w:val="00F41D2D"/>
    <w:rsid w:val="00F623EA"/>
    <w:rsid w:val="00F65F00"/>
    <w:rsid w:val="00FD3278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2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A2AC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0A2AC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62B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2BA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7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61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6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6160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763733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2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A2AC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0A2AC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62B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2BA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7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616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6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6160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763733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819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4573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37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877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21451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937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602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7827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59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6164;&#20135;&#27744;\&#26085;&#25253;&#34920;\&#21382;&#21490;\2018&#24180;\12&#26376;\&#27827;&#21271;&#30465;&#20998;&#34892;&#36164;&#20135;&#32452;&#21512;&#22411;&#29702;&#36130;&#19994;&#21153;&#26085;&#25253;&#34920;&#65288;2018-12-31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2018</a:t>
            </a:r>
            <a:r>
              <a:rPr lang="zh-CN"/>
              <a:t>年</a:t>
            </a:r>
            <a:r>
              <a:rPr lang="en-US"/>
              <a:t>12</a:t>
            </a:r>
            <a:r>
              <a:rPr lang="zh-CN"/>
              <a:t>月资产情况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384076990376204"/>
          <c:y val="0.17997666958296879"/>
          <c:w val="0.46569466316710412"/>
          <c:h val="0.77615777194517355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现金资产合计</c:v>
                </c:pt>
                <c:pt idx="1">
                  <c:v>债券资产合计</c:v>
                </c:pt>
                <c:pt idx="2">
                  <c:v>高收益资产合计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0.26625360989382613</c:v>
                </c:pt>
                <c:pt idx="1">
                  <c:v>2.9301475483484708E-2</c:v>
                </c:pt>
                <c:pt idx="2">
                  <c:v>0.7044449146226891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5332-6200-40AB-A320-BABEF129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鲁曦</dc:creator>
  <cp:lastModifiedBy>国政</cp:lastModifiedBy>
  <cp:revision>82</cp:revision>
  <cp:lastPrinted>2018-05-02T07:56:00Z</cp:lastPrinted>
  <dcterms:created xsi:type="dcterms:W3CDTF">2017-01-03T08:21:00Z</dcterms:created>
  <dcterms:modified xsi:type="dcterms:W3CDTF">2019-01-10T02:17:00Z</dcterms:modified>
</cp:coreProperties>
</file>