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4B3E3" w14:textId="3569771E"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3C61E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“乾元-私享”2020年第138期私人银行人民币理财产品</w:t>
      </w:r>
      <w:r w:rsidR="0042719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年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14:paraId="6CF5CCCD" w14:textId="77777777"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A722CE">
        <w:rPr>
          <w:rFonts w:asciiTheme="minorEastAsia" w:eastAsiaTheme="minorEastAsia" w:hAnsiTheme="minor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A722C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14:paraId="2CBEBD4D" w14:textId="77777777" w:rsidR="001B3848" w:rsidRPr="00437C59" w:rsidRDefault="003C61E8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“乾元-私享”2020年第138期私人银行人民币理财产品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8F7084">
        <w:rPr>
          <w:rFonts w:asciiTheme="minorEastAsia" w:eastAsiaTheme="minorEastAsia" w:hAnsiTheme="minorEastAsia"/>
          <w:color w:val="000000"/>
          <w:sz w:val="28"/>
          <w:szCs w:val="28"/>
        </w:rPr>
        <w:t>2020年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9</w:t>
      </w:r>
      <w:r w:rsidR="008F7084">
        <w:rPr>
          <w:rFonts w:asciiTheme="minorEastAsia" w:eastAsiaTheme="minorEastAsia" w:hAnsiTheme="minor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01</w:t>
      </w:r>
      <w:r w:rsidR="008F7084">
        <w:rPr>
          <w:rFonts w:asciiTheme="minorEastAsia" w:eastAsiaTheme="minorEastAsia" w:hAnsiTheme="minor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3C61E8">
        <w:rPr>
          <w:rFonts w:asciiTheme="minorEastAsia" w:eastAsiaTheme="minorEastAsia" w:hAnsiTheme="minorEastAsia"/>
          <w:color w:val="000000"/>
          <w:sz w:val="28"/>
          <w:szCs w:val="28"/>
        </w:rPr>
        <w:t>69,897.00</w:t>
      </w:r>
      <w:r w:rsidR="008347E9">
        <w:rPr>
          <w:rFonts w:asciiTheme="minorEastAsia" w:eastAsiaTheme="minorEastAsia" w:hAnsiTheme="minorEastAsia"/>
          <w:color w:val="000000"/>
          <w:sz w:val="28"/>
          <w:szCs w:val="28"/>
        </w:rPr>
        <w:t>万元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14:paraId="2C70EAF2" w14:textId="77777777"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14:paraId="02F213B2" w14:textId="77777777"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14:paraId="32CB48BA" w14:textId="77777777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359C" w14:textId="77777777"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6005" w14:textId="77777777" w:rsidR="006135B1" w:rsidRPr="00346C2E" w:rsidRDefault="003C61E8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219</w:t>
            </w:r>
          </w:p>
        </w:tc>
      </w:tr>
      <w:tr w:rsidR="006135B1" w:rsidRPr="00346C2E" w14:paraId="0A73BFC7" w14:textId="77777777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E828" w14:textId="77777777"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162E" w14:textId="77777777" w:rsidR="006135B1" w:rsidRPr="00346C2E" w:rsidRDefault="008347E9" w:rsidP="004A21E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</w:t>
            </w:r>
            <w:r w:rsidR="003C61E8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50</w:t>
            </w:r>
            <w:r w:rsidR="008F7084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%</w:t>
            </w:r>
          </w:p>
        </w:tc>
      </w:tr>
    </w:tbl>
    <w:p w14:paraId="1590D956" w14:textId="77777777"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14:paraId="70EE79E0" w14:textId="77777777"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1401"/>
        <w:gridCol w:w="1400"/>
        <w:gridCol w:w="1394"/>
        <w:gridCol w:w="1308"/>
      </w:tblGrid>
      <w:tr w:rsidR="00F33FC4" w:rsidRPr="00E31B0A" w14:paraId="662BC1C6" w14:textId="77777777" w:rsidTr="005204A8">
        <w:trPr>
          <w:trHeight w:val="589"/>
        </w:trPr>
        <w:tc>
          <w:tcPr>
            <w:tcW w:w="2943" w:type="dxa"/>
            <w:vAlign w:val="center"/>
          </w:tcPr>
          <w:p w14:paraId="07C68B14" w14:textId="77777777"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14:paraId="66D225C0" w14:textId="77777777"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14:paraId="26FF2C64" w14:textId="77777777"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14:paraId="2656B28D" w14:textId="77777777"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14:paraId="670C83DE" w14:textId="77777777"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14:paraId="68C96AC8" w14:textId="77777777" w:rsidTr="005204A8">
        <w:trPr>
          <w:trHeight w:val="475"/>
        </w:trPr>
        <w:tc>
          <w:tcPr>
            <w:tcW w:w="2943" w:type="dxa"/>
            <w:vAlign w:val="center"/>
          </w:tcPr>
          <w:p w14:paraId="37B5B8E0" w14:textId="77777777" w:rsidR="00E31B0A" w:rsidRPr="00E31B0A" w:rsidRDefault="003C61E8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“乾元-私享”2020年第138期私人银行人民币理财产品</w:t>
            </w:r>
          </w:p>
        </w:tc>
        <w:tc>
          <w:tcPr>
            <w:tcW w:w="1418" w:type="dxa"/>
            <w:vAlign w:val="center"/>
          </w:tcPr>
          <w:p w14:paraId="51822B16" w14:textId="77777777" w:rsidR="00E31B0A" w:rsidRPr="00E31B0A" w:rsidRDefault="003C61E8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C61E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2020/8/27</w:t>
            </w:r>
          </w:p>
        </w:tc>
        <w:tc>
          <w:tcPr>
            <w:tcW w:w="1417" w:type="dxa"/>
            <w:vAlign w:val="center"/>
          </w:tcPr>
          <w:p w14:paraId="09BBD04D" w14:textId="77777777" w:rsidR="00E31B0A" w:rsidRPr="00E31B0A" w:rsidRDefault="003C61E8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C61E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2020/8/31</w:t>
            </w:r>
          </w:p>
        </w:tc>
        <w:tc>
          <w:tcPr>
            <w:tcW w:w="1418" w:type="dxa"/>
            <w:vAlign w:val="center"/>
          </w:tcPr>
          <w:p w14:paraId="0532BD45" w14:textId="77777777" w:rsidR="00E31B0A" w:rsidRPr="00E31B0A" w:rsidRDefault="003C61E8" w:rsidP="008F708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C61E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2020/9/1</w:t>
            </w:r>
          </w:p>
        </w:tc>
        <w:tc>
          <w:tcPr>
            <w:tcW w:w="1326" w:type="dxa"/>
            <w:vAlign w:val="center"/>
          </w:tcPr>
          <w:p w14:paraId="0693A263" w14:textId="77777777" w:rsidR="00E31B0A" w:rsidRPr="00E31B0A" w:rsidRDefault="00243FD0" w:rsidP="008F708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43FD0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2021/4/8</w:t>
            </w:r>
          </w:p>
        </w:tc>
      </w:tr>
    </w:tbl>
    <w:p w14:paraId="12126B0D" w14:textId="77777777"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14:paraId="67A196E1" w14:textId="77777777"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14:paraId="3D2628AE" w14:textId="77777777"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701"/>
        <w:gridCol w:w="1559"/>
        <w:gridCol w:w="1701"/>
        <w:gridCol w:w="1559"/>
      </w:tblGrid>
      <w:tr w:rsidR="005204A8" w14:paraId="382426C7" w14:textId="77777777" w:rsidTr="00A21BE5">
        <w:trPr>
          <w:trHeight w:val="285"/>
          <w:jc w:val="center"/>
        </w:trPr>
        <w:tc>
          <w:tcPr>
            <w:tcW w:w="2547" w:type="dxa"/>
            <w:vAlign w:val="center"/>
          </w:tcPr>
          <w:p w14:paraId="7BF3671C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701" w:type="dxa"/>
            <w:vAlign w:val="center"/>
          </w:tcPr>
          <w:p w14:paraId="43C79D73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14:paraId="5BF01D6B" w14:textId="77777777"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59" w:type="dxa"/>
            <w:vAlign w:val="center"/>
          </w:tcPr>
          <w:p w14:paraId="25A56724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701" w:type="dxa"/>
            <w:vAlign w:val="center"/>
          </w:tcPr>
          <w:p w14:paraId="55729EAD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14:paraId="293E4172" w14:textId="77777777"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59" w:type="dxa"/>
          </w:tcPr>
          <w:p w14:paraId="546169C9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F47AC3" w14:paraId="098E051D" w14:textId="77777777" w:rsidTr="0083493C">
        <w:trPr>
          <w:trHeight w:val="285"/>
          <w:jc w:val="center"/>
        </w:trPr>
        <w:tc>
          <w:tcPr>
            <w:tcW w:w="2547" w:type="dxa"/>
            <w:vAlign w:val="center"/>
          </w:tcPr>
          <w:p w14:paraId="5DF06334" w14:textId="77777777" w:rsidR="00F47AC3" w:rsidRDefault="00F47AC3" w:rsidP="00F47AC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701" w:type="dxa"/>
            <w:vAlign w:val="center"/>
          </w:tcPr>
          <w:p w14:paraId="6A1AA398" w14:textId="77777777" w:rsidR="00F47AC3" w:rsidRDefault="00F47AC3" w:rsidP="00F47AC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47AC3">
              <w:rPr>
                <w:rFonts w:ascii="宋体" w:hAnsi="宋体" w:cs="宋体"/>
                <w:kern w:val="0"/>
              </w:rPr>
              <w:t>131,903,322.94</w:t>
            </w:r>
          </w:p>
        </w:tc>
        <w:tc>
          <w:tcPr>
            <w:tcW w:w="1559" w:type="dxa"/>
            <w:vAlign w:val="center"/>
          </w:tcPr>
          <w:p w14:paraId="1B02F907" w14:textId="77777777" w:rsidR="00F47AC3" w:rsidRPr="002E75ED" w:rsidRDefault="00F47AC3" w:rsidP="00F47AC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18.29%</w:t>
            </w:r>
          </w:p>
        </w:tc>
        <w:tc>
          <w:tcPr>
            <w:tcW w:w="1701" w:type="dxa"/>
            <w:vAlign w:val="center"/>
          </w:tcPr>
          <w:p w14:paraId="5C185037" w14:textId="77777777" w:rsidR="00F47AC3" w:rsidRDefault="00F47AC3" w:rsidP="00F47AC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47AC3">
              <w:rPr>
                <w:rFonts w:ascii="宋体" w:hAnsi="宋体" w:cs="宋体"/>
                <w:kern w:val="0"/>
              </w:rPr>
              <w:t>131,903,322.94</w:t>
            </w:r>
          </w:p>
        </w:tc>
        <w:tc>
          <w:tcPr>
            <w:tcW w:w="1559" w:type="dxa"/>
            <w:vAlign w:val="center"/>
          </w:tcPr>
          <w:p w14:paraId="2BCA438B" w14:textId="77777777" w:rsidR="00F47AC3" w:rsidRPr="002E75ED" w:rsidRDefault="00F47AC3" w:rsidP="00F47AC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18.29%</w:t>
            </w:r>
          </w:p>
        </w:tc>
      </w:tr>
      <w:tr w:rsidR="00F47AC3" w14:paraId="5B772D2E" w14:textId="77777777" w:rsidTr="0083493C">
        <w:trPr>
          <w:trHeight w:val="285"/>
          <w:jc w:val="center"/>
        </w:trPr>
        <w:tc>
          <w:tcPr>
            <w:tcW w:w="2547" w:type="dxa"/>
            <w:vAlign w:val="center"/>
          </w:tcPr>
          <w:p w14:paraId="2866E64E" w14:textId="77777777" w:rsidR="00F47AC3" w:rsidRDefault="00F47AC3" w:rsidP="00F47AC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E64AA">
              <w:rPr>
                <w:rFonts w:ascii="宋体" w:hAnsi="宋体" w:cs="宋体" w:hint="eastAsia"/>
                <w:kern w:val="0"/>
              </w:rPr>
              <w:lastRenderedPageBreak/>
              <w:t>非标准化债权类资产</w:t>
            </w:r>
          </w:p>
        </w:tc>
        <w:tc>
          <w:tcPr>
            <w:tcW w:w="1701" w:type="dxa"/>
            <w:vAlign w:val="center"/>
          </w:tcPr>
          <w:p w14:paraId="0E9DFDBB" w14:textId="77777777" w:rsidR="00F47AC3" w:rsidRDefault="00F47AC3" w:rsidP="00F47AC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47AC3">
              <w:rPr>
                <w:rFonts w:ascii="宋体" w:hAnsi="宋体" w:cs="宋体"/>
                <w:kern w:val="0"/>
              </w:rPr>
              <w:t>289,808,447.86</w:t>
            </w:r>
          </w:p>
        </w:tc>
        <w:tc>
          <w:tcPr>
            <w:tcW w:w="1559" w:type="dxa"/>
            <w:vAlign w:val="center"/>
          </w:tcPr>
          <w:p w14:paraId="5E1B95AC" w14:textId="77777777" w:rsidR="00F47AC3" w:rsidRPr="002E75ED" w:rsidRDefault="00F47AC3" w:rsidP="00F47AC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40.18</w:t>
            </w:r>
            <w:r w:rsidRPr="00A21BE5">
              <w:rPr>
                <w:rFonts w:ascii="宋体" w:hAnsi="宋体" w:cs="宋体"/>
                <w:kern w:val="0"/>
              </w:rPr>
              <w:t>%</w:t>
            </w:r>
          </w:p>
        </w:tc>
        <w:tc>
          <w:tcPr>
            <w:tcW w:w="1701" w:type="dxa"/>
            <w:vAlign w:val="center"/>
          </w:tcPr>
          <w:p w14:paraId="6349BDCD" w14:textId="77777777" w:rsidR="00F47AC3" w:rsidRDefault="00F47AC3" w:rsidP="00F47AC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47AC3">
              <w:rPr>
                <w:rFonts w:ascii="宋体" w:hAnsi="宋体" w:cs="宋体"/>
                <w:kern w:val="0"/>
              </w:rPr>
              <w:t>289,808,447.86</w:t>
            </w:r>
          </w:p>
        </w:tc>
        <w:tc>
          <w:tcPr>
            <w:tcW w:w="1559" w:type="dxa"/>
            <w:vAlign w:val="center"/>
          </w:tcPr>
          <w:p w14:paraId="1F0344E8" w14:textId="77777777" w:rsidR="00F47AC3" w:rsidRPr="002E75ED" w:rsidRDefault="00F47AC3" w:rsidP="00F47AC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40.18</w:t>
            </w:r>
            <w:r w:rsidRPr="00A21BE5">
              <w:rPr>
                <w:rFonts w:ascii="宋体" w:hAnsi="宋体" w:cs="宋体"/>
                <w:kern w:val="0"/>
              </w:rPr>
              <w:t>%</w:t>
            </w:r>
          </w:p>
        </w:tc>
      </w:tr>
      <w:tr w:rsidR="00F47AC3" w14:paraId="64583120" w14:textId="77777777" w:rsidTr="0083493C">
        <w:trPr>
          <w:trHeight w:val="285"/>
          <w:jc w:val="center"/>
        </w:trPr>
        <w:tc>
          <w:tcPr>
            <w:tcW w:w="2547" w:type="dxa"/>
            <w:vAlign w:val="center"/>
          </w:tcPr>
          <w:p w14:paraId="060D20B2" w14:textId="77777777" w:rsidR="00F47AC3" w:rsidRPr="005E64AA" w:rsidRDefault="00F47AC3" w:rsidP="00F47AC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47AC3">
              <w:rPr>
                <w:rFonts w:ascii="宋体" w:hAnsi="宋体" w:cs="宋体" w:hint="eastAsia"/>
                <w:kern w:val="0"/>
              </w:rPr>
              <w:t>同业存单</w:t>
            </w:r>
          </w:p>
        </w:tc>
        <w:tc>
          <w:tcPr>
            <w:tcW w:w="1701" w:type="dxa"/>
            <w:vAlign w:val="center"/>
          </w:tcPr>
          <w:p w14:paraId="40ABFE1E" w14:textId="77777777" w:rsidR="00F47AC3" w:rsidRPr="00024DDD" w:rsidRDefault="00F47AC3" w:rsidP="00F47AC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47AC3">
              <w:rPr>
                <w:rFonts w:ascii="宋体" w:hAnsi="宋体" w:cs="宋体"/>
                <w:kern w:val="0"/>
              </w:rPr>
              <w:t>299,481,733.49</w:t>
            </w:r>
          </w:p>
        </w:tc>
        <w:tc>
          <w:tcPr>
            <w:tcW w:w="1559" w:type="dxa"/>
            <w:vAlign w:val="center"/>
          </w:tcPr>
          <w:p w14:paraId="21409A3E" w14:textId="77777777" w:rsidR="00F47AC3" w:rsidRDefault="00F47AC3" w:rsidP="00F47AC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41.53%</w:t>
            </w:r>
          </w:p>
        </w:tc>
        <w:tc>
          <w:tcPr>
            <w:tcW w:w="1701" w:type="dxa"/>
            <w:vAlign w:val="center"/>
          </w:tcPr>
          <w:p w14:paraId="466A1217" w14:textId="77777777" w:rsidR="00F47AC3" w:rsidRPr="00024DDD" w:rsidRDefault="00F47AC3" w:rsidP="00F47AC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47AC3">
              <w:rPr>
                <w:rFonts w:ascii="宋体" w:hAnsi="宋体" w:cs="宋体"/>
                <w:kern w:val="0"/>
              </w:rPr>
              <w:t>299,481,733.49</w:t>
            </w:r>
          </w:p>
        </w:tc>
        <w:tc>
          <w:tcPr>
            <w:tcW w:w="1559" w:type="dxa"/>
            <w:vAlign w:val="center"/>
          </w:tcPr>
          <w:p w14:paraId="6E44E6D3" w14:textId="77777777" w:rsidR="00F47AC3" w:rsidRDefault="00F47AC3" w:rsidP="00F47AC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41.53%</w:t>
            </w:r>
          </w:p>
        </w:tc>
      </w:tr>
      <w:tr w:rsidR="00F47AC3" w14:paraId="5647226F" w14:textId="77777777" w:rsidTr="00A21BE5">
        <w:trPr>
          <w:trHeight w:val="285"/>
          <w:jc w:val="center"/>
        </w:trPr>
        <w:tc>
          <w:tcPr>
            <w:tcW w:w="2547" w:type="dxa"/>
            <w:vAlign w:val="center"/>
          </w:tcPr>
          <w:p w14:paraId="266177DC" w14:textId="77777777" w:rsidR="00F47AC3" w:rsidRDefault="00F47AC3" w:rsidP="00F47AC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701" w:type="dxa"/>
            <w:vAlign w:val="center"/>
          </w:tcPr>
          <w:p w14:paraId="04400798" w14:textId="77777777" w:rsidR="00F47AC3" w:rsidRDefault="00F47AC3" w:rsidP="00F47AC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47AC3">
              <w:rPr>
                <w:rFonts w:ascii="宋体" w:hAnsi="宋体" w:cs="宋体"/>
                <w:kern w:val="0"/>
              </w:rPr>
              <w:t>721,193,504.29</w:t>
            </w:r>
          </w:p>
        </w:tc>
        <w:tc>
          <w:tcPr>
            <w:tcW w:w="1559" w:type="dxa"/>
            <w:vAlign w:val="center"/>
          </w:tcPr>
          <w:p w14:paraId="27700F70" w14:textId="77777777" w:rsidR="00F47AC3" w:rsidRDefault="00F47AC3" w:rsidP="00F47AC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701" w:type="dxa"/>
            <w:vAlign w:val="center"/>
          </w:tcPr>
          <w:p w14:paraId="110CFE87" w14:textId="77777777" w:rsidR="00F47AC3" w:rsidRDefault="00F47AC3" w:rsidP="00F47AC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47AC3">
              <w:rPr>
                <w:rFonts w:ascii="宋体" w:hAnsi="宋体" w:cs="宋体"/>
                <w:kern w:val="0"/>
              </w:rPr>
              <w:t>721,193,504.29</w:t>
            </w:r>
          </w:p>
        </w:tc>
        <w:tc>
          <w:tcPr>
            <w:tcW w:w="1559" w:type="dxa"/>
            <w:vAlign w:val="center"/>
          </w:tcPr>
          <w:p w14:paraId="3A8D356B" w14:textId="77777777" w:rsidR="00F47AC3" w:rsidRDefault="00F47AC3" w:rsidP="00F47AC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14:paraId="0200F0FE" w14:textId="77777777"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558"/>
        <w:gridCol w:w="1785"/>
        <w:gridCol w:w="1721"/>
      </w:tblGrid>
      <w:tr w:rsidR="005204A8" w:rsidRPr="00437C59" w14:paraId="0D679ED5" w14:textId="77777777" w:rsidTr="005E64AA">
        <w:trPr>
          <w:trHeight w:val="589"/>
          <w:jc w:val="center"/>
        </w:trPr>
        <w:tc>
          <w:tcPr>
            <w:tcW w:w="1232" w:type="dxa"/>
            <w:vAlign w:val="center"/>
          </w:tcPr>
          <w:p w14:paraId="7929ECA1" w14:textId="77777777"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58" w:type="dxa"/>
            <w:vAlign w:val="center"/>
          </w:tcPr>
          <w:p w14:paraId="5867CAB5" w14:textId="77777777"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5" w:type="dxa"/>
            <w:vAlign w:val="center"/>
          </w:tcPr>
          <w:p w14:paraId="20D87A04" w14:textId="77777777"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21" w:type="dxa"/>
            <w:vAlign w:val="center"/>
          </w:tcPr>
          <w:p w14:paraId="2BCDB363" w14:textId="77777777"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F47AC3" w:rsidRPr="00437C59" w14:paraId="7ECFD7A7" w14:textId="77777777" w:rsidTr="005E64AA">
        <w:trPr>
          <w:trHeight w:val="589"/>
          <w:jc w:val="center"/>
        </w:trPr>
        <w:tc>
          <w:tcPr>
            <w:tcW w:w="1232" w:type="dxa"/>
            <w:vAlign w:val="center"/>
          </w:tcPr>
          <w:p w14:paraId="5B44F7E4" w14:textId="77777777" w:rsidR="00F47AC3" w:rsidRDefault="00F47AC3" w:rsidP="00F47AC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3558" w:type="dxa"/>
            <w:vAlign w:val="center"/>
          </w:tcPr>
          <w:p w14:paraId="7FE6CD9A" w14:textId="77777777" w:rsidR="00F47AC3" w:rsidRPr="00ED1412" w:rsidRDefault="00F47AC3" w:rsidP="00F47AC3">
            <w:pPr>
              <w:jc w:val="center"/>
              <w:rPr>
                <w:rFonts w:asciiTheme="minorEastAsia" w:eastAsiaTheme="minorEastAsia" w:hAnsiTheme="minorEastAsia"/>
              </w:rPr>
            </w:pPr>
            <w:r w:rsidRPr="00F47AC3">
              <w:rPr>
                <w:rFonts w:asciiTheme="minorEastAsia" w:eastAsiaTheme="minorEastAsia" w:hAnsiTheme="minorEastAsia" w:hint="eastAsia"/>
              </w:rPr>
              <w:t>18川能投EB001</w:t>
            </w:r>
          </w:p>
        </w:tc>
        <w:tc>
          <w:tcPr>
            <w:tcW w:w="1785" w:type="dxa"/>
            <w:vAlign w:val="center"/>
          </w:tcPr>
          <w:p w14:paraId="546A7CBD" w14:textId="77777777" w:rsidR="00F47AC3" w:rsidRDefault="00F47AC3" w:rsidP="00F47AC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47AC3">
              <w:rPr>
                <w:rFonts w:ascii="宋体" w:hAnsi="宋体" w:cs="宋体"/>
                <w:kern w:val="0"/>
              </w:rPr>
              <w:t>289,808,447.86</w:t>
            </w:r>
          </w:p>
        </w:tc>
        <w:tc>
          <w:tcPr>
            <w:tcW w:w="1721" w:type="dxa"/>
            <w:vAlign w:val="center"/>
          </w:tcPr>
          <w:p w14:paraId="144038CD" w14:textId="77777777" w:rsidR="00F47AC3" w:rsidRPr="002E75ED" w:rsidRDefault="00F47AC3" w:rsidP="00F47AC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40.18</w:t>
            </w:r>
            <w:r w:rsidRPr="00A21BE5">
              <w:rPr>
                <w:rFonts w:ascii="宋体" w:hAnsi="宋体" w:cs="宋体"/>
                <w:kern w:val="0"/>
              </w:rPr>
              <w:t>%</w:t>
            </w:r>
          </w:p>
        </w:tc>
      </w:tr>
      <w:tr w:rsidR="00F47AC3" w:rsidRPr="00437C59" w14:paraId="1E1FDD92" w14:textId="77777777" w:rsidTr="00014A40">
        <w:trPr>
          <w:trHeight w:val="496"/>
          <w:jc w:val="center"/>
        </w:trPr>
        <w:tc>
          <w:tcPr>
            <w:tcW w:w="1232" w:type="dxa"/>
            <w:vAlign w:val="center"/>
          </w:tcPr>
          <w:p w14:paraId="069110F1" w14:textId="77777777" w:rsidR="00F47AC3" w:rsidRDefault="00F47AC3" w:rsidP="00F47AC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3558" w:type="dxa"/>
            <w:vAlign w:val="center"/>
          </w:tcPr>
          <w:p w14:paraId="064396FD" w14:textId="77777777" w:rsidR="00F47AC3" w:rsidRPr="00C720CE" w:rsidRDefault="00F47AC3" w:rsidP="00F47AC3">
            <w:pPr>
              <w:jc w:val="center"/>
              <w:rPr>
                <w:rFonts w:asciiTheme="minorEastAsia" w:eastAsiaTheme="minorEastAsia" w:hAnsiTheme="minorEastAsia"/>
              </w:rPr>
            </w:pPr>
            <w:r w:rsidRPr="00F47AC3">
              <w:rPr>
                <w:rFonts w:asciiTheme="minorEastAsia" w:eastAsiaTheme="minorEastAsia" w:hAnsiTheme="minorEastAsia" w:hint="eastAsia"/>
              </w:rPr>
              <w:t>20招商银行CD145</w:t>
            </w:r>
          </w:p>
        </w:tc>
        <w:tc>
          <w:tcPr>
            <w:tcW w:w="1785" w:type="dxa"/>
            <w:vAlign w:val="center"/>
          </w:tcPr>
          <w:p w14:paraId="6A042C8B" w14:textId="77777777" w:rsidR="00F47AC3" w:rsidRPr="00024DDD" w:rsidRDefault="00F47AC3" w:rsidP="00F47AC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47AC3">
              <w:rPr>
                <w:rFonts w:ascii="宋体" w:hAnsi="宋体" w:cs="宋体"/>
                <w:kern w:val="0"/>
              </w:rPr>
              <w:t>200,585,586.33</w:t>
            </w:r>
          </w:p>
        </w:tc>
        <w:tc>
          <w:tcPr>
            <w:tcW w:w="1721" w:type="dxa"/>
            <w:vAlign w:val="center"/>
          </w:tcPr>
          <w:p w14:paraId="3D2DB906" w14:textId="77777777" w:rsidR="00F47AC3" w:rsidRDefault="00F47AC3" w:rsidP="00F47AC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27.81</w:t>
            </w:r>
            <w:r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BA1DB8" w:rsidRPr="00437C59" w14:paraId="023FA8EC" w14:textId="77777777" w:rsidTr="005E64AA">
        <w:trPr>
          <w:trHeight w:val="496"/>
          <w:jc w:val="center"/>
        </w:trPr>
        <w:tc>
          <w:tcPr>
            <w:tcW w:w="1232" w:type="dxa"/>
            <w:vAlign w:val="center"/>
          </w:tcPr>
          <w:p w14:paraId="4783DAF8" w14:textId="77777777"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3558" w:type="dxa"/>
            <w:vAlign w:val="center"/>
          </w:tcPr>
          <w:p w14:paraId="28742706" w14:textId="77777777" w:rsidR="00BA1DB8" w:rsidRPr="00C720CE" w:rsidRDefault="00F47AC3" w:rsidP="00BA1DB8">
            <w:pPr>
              <w:jc w:val="center"/>
              <w:rPr>
                <w:rFonts w:asciiTheme="minorEastAsia" w:eastAsiaTheme="minorEastAsia" w:hAnsiTheme="minorEastAsia"/>
              </w:rPr>
            </w:pPr>
            <w:r w:rsidRPr="00F47AC3">
              <w:rPr>
                <w:rFonts w:asciiTheme="minorEastAsia" w:eastAsiaTheme="minorEastAsia" w:hAnsiTheme="minorEastAsia" w:hint="eastAsia"/>
              </w:rPr>
              <w:t>20中信银行CD183</w:t>
            </w:r>
          </w:p>
        </w:tc>
        <w:tc>
          <w:tcPr>
            <w:tcW w:w="1785" w:type="dxa"/>
            <w:vAlign w:val="center"/>
          </w:tcPr>
          <w:p w14:paraId="0B09DD3C" w14:textId="77777777" w:rsidR="00BA1DB8" w:rsidRPr="00C720CE" w:rsidRDefault="00F47AC3" w:rsidP="00BA1DB8">
            <w:pPr>
              <w:jc w:val="center"/>
              <w:rPr>
                <w:rFonts w:asciiTheme="minorEastAsia" w:eastAsiaTheme="minorEastAsia" w:hAnsiTheme="minorEastAsia"/>
              </w:rPr>
            </w:pPr>
            <w:r w:rsidRPr="00F47AC3">
              <w:rPr>
                <w:rFonts w:asciiTheme="minorEastAsia" w:eastAsiaTheme="minorEastAsia" w:hAnsiTheme="minorEastAsia"/>
              </w:rPr>
              <w:t>98,896,147.16</w:t>
            </w:r>
          </w:p>
        </w:tc>
        <w:tc>
          <w:tcPr>
            <w:tcW w:w="1721" w:type="dxa"/>
          </w:tcPr>
          <w:p w14:paraId="1479084A" w14:textId="77777777" w:rsidR="00BA1DB8" w:rsidRPr="00E667A4" w:rsidRDefault="00F47AC3" w:rsidP="00F47AC3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13.71</w:t>
            </w:r>
            <w:r w:rsidRPr="00F47AC3">
              <w:rPr>
                <w:rFonts w:asciiTheme="minorEastAsia" w:eastAsiaTheme="minorEastAsia" w:hAnsiTheme="minorEastAsia"/>
              </w:rPr>
              <w:t>%</w:t>
            </w:r>
          </w:p>
        </w:tc>
      </w:tr>
      <w:tr w:rsidR="00BA1DB8" w:rsidRPr="00437C59" w14:paraId="6BF3B265" w14:textId="77777777" w:rsidTr="005E64AA">
        <w:trPr>
          <w:trHeight w:val="496"/>
          <w:jc w:val="center"/>
        </w:trPr>
        <w:tc>
          <w:tcPr>
            <w:tcW w:w="1232" w:type="dxa"/>
            <w:vAlign w:val="center"/>
          </w:tcPr>
          <w:p w14:paraId="5F401563" w14:textId="77777777"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3558" w:type="dxa"/>
            <w:vAlign w:val="center"/>
          </w:tcPr>
          <w:p w14:paraId="388164E3" w14:textId="77777777"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14:paraId="570834DA" w14:textId="77777777"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14:paraId="70E0679C" w14:textId="77777777"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14:paraId="1A6AE8CE" w14:textId="77777777" w:rsidTr="005E64AA">
        <w:trPr>
          <w:trHeight w:val="496"/>
          <w:jc w:val="center"/>
        </w:trPr>
        <w:tc>
          <w:tcPr>
            <w:tcW w:w="1232" w:type="dxa"/>
            <w:vAlign w:val="center"/>
          </w:tcPr>
          <w:p w14:paraId="7F0FCE17" w14:textId="77777777" w:rsidR="00BA1DB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3558" w:type="dxa"/>
            <w:vAlign w:val="center"/>
          </w:tcPr>
          <w:p w14:paraId="1C623CDF" w14:textId="77777777" w:rsidR="00BA1DB8" w:rsidRPr="0083085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14:paraId="7FC5FBDE" w14:textId="77777777" w:rsidR="00BA1DB8" w:rsidRPr="0083085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14:paraId="695C7114" w14:textId="77777777"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1271E6D4" w14:textId="77777777"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14:paraId="36B10B23" w14:textId="77777777"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76002" w14:paraId="7BAD5105" w14:textId="77777777" w:rsidTr="005A08AB">
        <w:tc>
          <w:tcPr>
            <w:tcW w:w="8522" w:type="dxa"/>
          </w:tcPr>
          <w:p w14:paraId="4105196D" w14:textId="77777777"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14:paraId="430A38A2" w14:textId="77777777"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14:paraId="673A65C8" w14:textId="77777777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14:paraId="7A2B7697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14:paraId="70717397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14:paraId="4B6C680F" w14:textId="77777777"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14:paraId="18E0D933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14:paraId="04F93387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14:paraId="210729F3" w14:textId="77777777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14:paraId="465F9C26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14:paraId="5CF62642" w14:textId="77777777"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14:paraId="6A26A49D" w14:textId="77777777" w:rsidR="003B5CC6" w:rsidRDefault="00213FFE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213FFE">
              <w:rPr>
                <w:rFonts w:ascii="宋体" w:hAnsi="宋体" w:cs="宋体"/>
                <w:kern w:val="0"/>
              </w:rPr>
              <w:t>44050186320100001363-1114</w:t>
            </w:r>
          </w:p>
        </w:tc>
        <w:tc>
          <w:tcPr>
            <w:tcW w:w="1843" w:type="dxa"/>
            <w:vAlign w:val="center"/>
          </w:tcPr>
          <w:p w14:paraId="678617CA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14:paraId="1E4B8AC9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14:paraId="5317F1CC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14:paraId="58A40277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14:paraId="26FF6387" w14:textId="77777777"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14:paraId="2E99F2C8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14:paraId="6303BA19" w14:textId="77777777"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14:paraId="2AE11317" w14:textId="77777777"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14:paraId="17A61B98" w14:textId="77777777"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14:paraId="03DC8158" w14:textId="77777777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14:paraId="5A7D5F92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14:paraId="16C85D93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14:paraId="1FBA9BB5" w14:textId="77777777"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14:paraId="54F43749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14:paraId="37F9BEC4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14:paraId="0318377A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14:paraId="531507BB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14:paraId="68D6648E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B78C9" w14:paraId="1E724270" w14:textId="77777777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14:paraId="3D5AB3B5" w14:textId="77777777"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14:paraId="5BACFD12" w14:textId="77777777"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14:paraId="16757EF9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3494CB5C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4B4A450A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14:paraId="7B476872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14:paraId="7D7ED91E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14:paraId="065C4FE9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14:paraId="70D7C810" w14:textId="77777777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14:paraId="206B7D49" w14:textId="77777777"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2</w:t>
            </w:r>
          </w:p>
        </w:tc>
        <w:tc>
          <w:tcPr>
            <w:tcW w:w="1356" w:type="dxa"/>
            <w:vAlign w:val="center"/>
          </w:tcPr>
          <w:p w14:paraId="56B20EA5" w14:textId="77777777"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14:paraId="07E8A178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02871DB0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148A990B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14:paraId="241E0601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14:paraId="2ED91806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14:paraId="597B78D7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14:paraId="486116F4" w14:textId="77777777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14:paraId="21230699" w14:textId="77777777"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14:paraId="57C0EDED" w14:textId="77777777"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14:paraId="1F748ED7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55989D9A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5AE3126E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14:paraId="5446FEF8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14:paraId="42B05758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14:paraId="0213B05A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14:paraId="4FBA7991" w14:textId="77777777"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B5CC6" w14:paraId="23412BD1" w14:textId="77777777" w:rsidTr="002530CA">
        <w:tc>
          <w:tcPr>
            <w:tcW w:w="8522" w:type="dxa"/>
          </w:tcPr>
          <w:p w14:paraId="3FD681DF" w14:textId="77777777"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14:paraId="163AC8AB" w14:textId="77777777"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14:paraId="6831167E" w14:textId="77777777"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14:paraId="3E38DFD4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14:paraId="26EF8BC1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14:paraId="4ED12662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14:paraId="48BA4B14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14:paraId="2DDF1110" w14:textId="77777777"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14:paraId="37653917" w14:textId="77777777" w:rsidR="000B0AD3" w:rsidRDefault="000B0AD3" w:rsidP="000B0AD3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2021年2月23日</w:t>
      </w:r>
    </w:p>
    <w:p w14:paraId="1414875B" w14:textId="77777777" w:rsidR="005204A8" w:rsidRDefault="005204A8" w:rsidP="005204A8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C61B7B">
        <w:rPr>
          <w:rFonts w:asciiTheme="minorEastAsia" w:eastAsiaTheme="minorEastAsia" w:hAnsiTheme="minorEastAsia"/>
        </w:rPr>
        <w:t xml:space="preserve"> </w:t>
      </w:r>
    </w:p>
    <w:p w14:paraId="72995911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7FFAC50D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526688DF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429DA44F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34B5479C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29890E81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09FE34BF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783A3A9B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6CE7477D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7FAE77EC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633BA021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017AF486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650366AF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4E8735A5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3421D9BA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11AA85CC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55DB92B0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639750E3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3F070455" w14:textId="77777777"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14:paraId="0B3E11FD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6744D9F8" w14:textId="77777777" w:rsidR="005204A8" w:rsidRDefault="003C61E8" w:rsidP="005204A8">
      <w:pPr>
        <w:jc w:val="center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“乾元</w:t>
      </w:r>
      <w:r>
        <w:rPr>
          <w:rFonts w:hint="eastAsia"/>
          <w:b/>
          <w:color w:val="000000"/>
          <w:sz w:val="24"/>
          <w:szCs w:val="24"/>
        </w:rPr>
        <w:t>-</w:t>
      </w:r>
      <w:r>
        <w:rPr>
          <w:rFonts w:hint="eastAsia"/>
          <w:b/>
          <w:color w:val="000000"/>
          <w:sz w:val="24"/>
          <w:szCs w:val="24"/>
        </w:rPr>
        <w:t>私享”</w:t>
      </w:r>
      <w:r>
        <w:rPr>
          <w:rFonts w:hint="eastAsia"/>
          <w:b/>
          <w:color w:val="000000"/>
          <w:sz w:val="24"/>
          <w:szCs w:val="24"/>
        </w:rPr>
        <w:t>2020</w:t>
      </w:r>
      <w:r>
        <w:rPr>
          <w:rFonts w:hint="eastAsia"/>
          <w:b/>
          <w:color w:val="000000"/>
          <w:sz w:val="24"/>
          <w:szCs w:val="24"/>
        </w:rPr>
        <w:t>年第</w:t>
      </w:r>
      <w:r>
        <w:rPr>
          <w:rFonts w:hint="eastAsia"/>
          <w:b/>
          <w:color w:val="000000"/>
          <w:sz w:val="24"/>
          <w:szCs w:val="24"/>
        </w:rPr>
        <w:t>138</w:t>
      </w:r>
      <w:r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投资非标准化债权及股权类资产清单</w:t>
      </w:r>
    </w:p>
    <w:p w14:paraId="576AEEBC" w14:textId="77777777"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3C6C1B">
        <w:rPr>
          <w:rFonts w:ascii="宋体" w:hAnsi="宋体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3C6C1B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14:paraId="3C5594DD" w14:textId="77777777"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C13CC6" w:rsidRPr="00C13CC6">
        <w:rPr>
          <w:rFonts w:ascii="宋体" w:hAnsi="宋体" w:hint="eastAsia"/>
          <w:color w:val="000000"/>
          <w:szCs w:val="21"/>
        </w:rPr>
        <w:t>“乾元-私享”</w:t>
      </w:r>
      <w:r w:rsidR="00BD5EC1">
        <w:rPr>
          <w:rFonts w:ascii="宋体" w:hAnsi="宋体" w:hint="eastAsia"/>
          <w:color w:val="000000"/>
          <w:szCs w:val="21"/>
        </w:rPr>
        <w:t>2</w:t>
      </w:r>
      <w:r w:rsidR="003C61E8">
        <w:rPr>
          <w:rFonts w:ascii="宋体" w:hAnsi="宋体" w:hint="eastAsia"/>
          <w:color w:val="000000"/>
          <w:szCs w:val="21"/>
        </w:rPr>
        <w:t>020年第138期私人银行人民币理财产品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4971" w:type="pct"/>
        <w:jc w:val="center"/>
        <w:tblLayout w:type="fixed"/>
        <w:tblLook w:val="04A0" w:firstRow="1" w:lastRow="0" w:firstColumn="1" w:lastColumn="0" w:noHBand="0" w:noVBand="1"/>
      </w:tblPr>
      <w:tblGrid>
        <w:gridCol w:w="1737"/>
        <w:gridCol w:w="2760"/>
        <w:gridCol w:w="2072"/>
        <w:gridCol w:w="991"/>
        <w:gridCol w:w="688"/>
      </w:tblGrid>
      <w:tr w:rsidR="005204A8" w14:paraId="0FF761A4" w14:textId="77777777" w:rsidTr="00354859">
        <w:trPr>
          <w:trHeight w:val="765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B1B6" w14:textId="77777777"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5B46" w14:textId="77777777"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C6333" w14:textId="77777777"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5C0B" w14:textId="77777777"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D48A" w14:textId="77777777" w:rsidR="005204A8" w:rsidRDefault="003469B0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3F0674" w14:paraId="5C4AEC5E" w14:textId="77777777" w:rsidTr="003B7418">
        <w:trPr>
          <w:trHeight w:val="240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698A33" w14:textId="77777777" w:rsidR="003F0674" w:rsidRPr="0056021A" w:rsidRDefault="003F0674" w:rsidP="003F067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6021A">
              <w:rPr>
                <w:rFonts w:asciiTheme="minorEastAsia" w:eastAsiaTheme="minorEastAsia" w:hAnsiTheme="minorEastAsia" w:hint="eastAsia"/>
                <w:color w:val="000000"/>
              </w:rPr>
              <w:t>非标准化债权类资产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E79428" w14:textId="77777777" w:rsidR="003F0674" w:rsidRPr="0056021A" w:rsidRDefault="003F0674" w:rsidP="003F067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F0674">
              <w:rPr>
                <w:rFonts w:asciiTheme="minorEastAsia" w:eastAsiaTheme="minorEastAsia" w:hAnsiTheme="minorEastAsia" w:hint="eastAsia"/>
                <w:color w:val="000000"/>
              </w:rPr>
              <w:t>四川省能源投资集团有限责任公司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B7CE6" w14:textId="77777777" w:rsidR="003F0674" w:rsidRPr="00ED1412" w:rsidRDefault="003F0674" w:rsidP="003F0674">
            <w:pPr>
              <w:jc w:val="center"/>
              <w:rPr>
                <w:rFonts w:asciiTheme="minorEastAsia" w:eastAsiaTheme="minorEastAsia" w:hAnsiTheme="minorEastAsia"/>
              </w:rPr>
            </w:pPr>
            <w:r w:rsidRPr="00F47AC3">
              <w:rPr>
                <w:rFonts w:asciiTheme="minorEastAsia" w:eastAsiaTheme="minorEastAsia" w:hAnsiTheme="minorEastAsia" w:hint="eastAsia"/>
              </w:rPr>
              <w:t>18川能投EB001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63707F" w14:textId="77777777" w:rsidR="003F0674" w:rsidRPr="0056021A" w:rsidRDefault="003F0674" w:rsidP="003F067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819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FBC64" w14:textId="77777777" w:rsidR="003F0674" w:rsidRDefault="003F0674" w:rsidP="003F0674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  <w:tr w:rsidR="003F0674" w14:paraId="7DF2A5D3" w14:textId="77777777" w:rsidTr="003B7418">
        <w:trPr>
          <w:trHeight w:val="240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5ABA27" w14:textId="77777777" w:rsidR="003F0674" w:rsidRPr="0056021A" w:rsidRDefault="003F0674" w:rsidP="003F067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F0674">
              <w:rPr>
                <w:rFonts w:asciiTheme="minorEastAsia" w:eastAsiaTheme="minorEastAsia" w:hAnsiTheme="minorEastAsia" w:hint="eastAsia"/>
                <w:color w:val="000000"/>
              </w:rPr>
              <w:t>同业存单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A43924" w14:textId="77777777" w:rsidR="003F0674" w:rsidRPr="00C21176" w:rsidRDefault="003F0674" w:rsidP="003F067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F0674">
              <w:rPr>
                <w:rFonts w:asciiTheme="minorEastAsia" w:eastAsiaTheme="minorEastAsia" w:hAnsiTheme="minorEastAsia" w:hint="eastAsia"/>
                <w:color w:val="000000"/>
              </w:rPr>
              <w:t>招商银行股份有限公司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10527" w14:textId="77777777" w:rsidR="003F0674" w:rsidRPr="00C720CE" w:rsidRDefault="003F0674" w:rsidP="003F0674">
            <w:pPr>
              <w:jc w:val="center"/>
              <w:rPr>
                <w:rFonts w:asciiTheme="minorEastAsia" w:eastAsiaTheme="minorEastAsia" w:hAnsiTheme="minorEastAsia"/>
              </w:rPr>
            </w:pPr>
            <w:r w:rsidRPr="00F47AC3">
              <w:rPr>
                <w:rFonts w:asciiTheme="minorEastAsia" w:eastAsiaTheme="minorEastAsia" w:hAnsiTheme="minorEastAsia" w:hint="eastAsia"/>
              </w:rPr>
              <w:t>20招商银行CD145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9F724C" w14:textId="77777777" w:rsidR="003F0674" w:rsidRDefault="003F0674" w:rsidP="003F067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56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0B23E" w14:textId="77777777" w:rsidR="003F0674" w:rsidRDefault="003F0674" w:rsidP="003F0674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  <w:tr w:rsidR="003F0674" w14:paraId="7E4F6301" w14:textId="77777777" w:rsidTr="003B7418">
        <w:trPr>
          <w:trHeight w:val="240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D07D6C" w14:textId="77777777" w:rsidR="003F0674" w:rsidRPr="0056021A" w:rsidRDefault="003F0674" w:rsidP="003F067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F0674">
              <w:rPr>
                <w:rFonts w:asciiTheme="minorEastAsia" w:eastAsiaTheme="minorEastAsia" w:hAnsiTheme="minorEastAsia" w:hint="eastAsia"/>
                <w:color w:val="000000"/>
              </w:rPr>
              <w:t>同业存单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68761F" w14:textId="77777777" w:rsidR="003F0674" w:rsidRPr="00C21176" w:rsidRDefault="003F0674" w:rsidP="003F067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F0674">
              <w:rPr>
                <w:rFonts w:asciiTheme="minorEastAsia" w:eastAsiaTheme="minorEastAsia" w:hAnsiTheme="minorEastAsia" w:hint="eastAsia"/>
                <w:color w:val="000000"/>
              </w:rPr>
              <w:t>中信银行股份有限公司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84D96" w14:textId="77777777" w:rsidR="003F0674" w:rsidRPr="00C720CE" w:rsidRDefault="003F0674" w:rsidP="003F0674">
            <w:pPr>
              <w:jc w:val="center"/>
              <w:rPr>
                <w:rFonts w:asciiTheme="minorEastAsia" w:eastAsiaTheme="minorEastAsia" w:hAnsiTheme="minorEastAsia"/>
              </w:rPr>
            </w:pPr>
            <w:r w:rsidRPr="00F47AC3">
              <w:rPr>
                <w:rFonts w:asciiTheme="minorEastAsia" w:eastAsiaTheme="minorEastAsia" w:hAnsiTheme="minorEastAsia" w:hint="eastAsia"/>
              </w:rPr>
              <w:t>20中信银行CD183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157AE3" w14:textId="77777777" w:rsidR="003F0674" w:rsidRDefault="003F0674" w:rsidP="003F067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231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838FF" w14:textId="77777777" w:rsidR="003F0674" w:rsidRDefault="003F0674" w:rsidP="003F0674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14:paraId="46960B6F" w14:textId="77777777"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14:paraId="054174B9" w14:textId="77777777"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14:paraId="3B27970D" w14:textId="77777777"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B8ED8" w14:textId="77777777" w:rsidR="00A47937" w:rsidRDefault="00A47937" w:rsidP="00747E15">
      <w:r>
        <w:separator/>
      </w:r>
    </w:p>
  </w:endnote>
  <w:endnote w:type="continuationSeparator" w:id="0">
    <w:p w14:paraId="46F6E1FF" w14:textId="77777777" w:rsidR="00A47937" w:rsidRDefault="00A47937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B1BCF" w14:textId="77777777" w:rsidR="00A47937" w:rsidRDefault="00A47937" w:rsidP="00747E15">
      <w:r>
        <w:separator/>
      </w:r>
    </w:p>
  </w:footnote>
  <w:footnote w:type="continuationSeparator" w:id="0">
    <w:p w14:paraId="5394C66A" w14:textId="77777777" w:rsidR="00A47937" w:rsidRDefault="00A47937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4B"/>
    <w:rsid w:val="00000EA6"/>
    <w:rsid w:val="00004B86"/>
    <w:rsid w:val="000214D6"/>
    <w:rsid w:val="00024DDD"/>
    <w:rsid w:val="00026C30"/>
    <w:rsid w:val="00034EB1"/>
    <w:rsid w:val="00041CF5"/>
    <w:rsid w:val="0004473E"/>
    <w:rsid w:val="00050B6D"/>
    <w:rsid w:val="00063A00"/>
    <w:rsid w:val="00064987"/>
    <w:rsid w:val="00066841"/>
    <w:rsid w:val="0008454E"/>
    <w:rsid w:val="00087701"/>
    <w:rsid w:val="000A58C0"/>
    <w:rsid w:val="000A7A07"/>
    <w:rsid w:val="000B0AD3"/>
    <w:rsid w:val="000B2257"/>
    <w:rsid w:val="000B6D04"/>
    <w:rsid w:val="000C554B"/>
    <w:rsid w:val="000D2F26"/>
    <w:rsid w:val="000F4ED6"/>
    <w:rsid w:val="000F5E7E"/>
    <w:rsid w:val="000F70EF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A3DAA"/>
    <w:rsid w:val="001B0258"/>
    <w:rsid w:val="001B3848"/>
    <w:rsid w:val="001B3BC4"/>
    <w:rsid w:val="001C207C"/>
    <w:rsid w:val="001C51CC"/>
    <w:rsid w:val="001D4D93"/>
    <w:rsid w:val="001D7934"/>
    <w:rsid w:val="001E0ABA"/>
    <w:rsid w:val="001E0BAC"/>
    <w:rsid w:val="001E3FB0"/>
    <w:rsid w:val="001E60BC"/>
    <w:rsid w:val="001E70EA"/>
    <w:rsid w:val="001F3D33"/>
    <w:rsid w:val="001F4173"/>
    <w:rsid w:val="00206C50"/>
    <w:rsid w:val="00212278"/>
    <w:rsid w:val="00213FFE"/>
    <w:rsid w:val="00215713"/>
    <w:rsid w:val="00225A63"/>
    <w:rsid w:val="00233ACD"/>
    <w:rsid w:val="00237CF2"/>
    <w:rsid w:val="00240A06"/>
    <w:rsid w:val="00243FD0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E75ED"/>
    <w:rsid w:val="002F02E2"/>
    <w:rsid w:val="002F21B2"/>
    <w:rsid w:val="00305DE3"/>
    <w:rsid w:val="00326849"/>
    <w:rsid w:val="00332886"/>
    <w:rsid w:val="00333409"/>
    <w:rsid w:val="003469B0"/>
    <w:rsid w:val="00346C2E"/>
    <w:rsid w:val="00354859"/>
    <w:rsid w:val="003729DF"/>
    <w:rsid w:val="00373677"/>
    <w:rsid w:val="00391998"/>
    <w:rsid w:val="0039500D"/>
    <w:rsid w:val="003B5CC6"/>
    <w:rsid w:val="003C61E8"/>
    <w:rsid w:val="003C6C1B"/>
    <w:rsid w:val="003D3F6C"/>
    <w:rsid w:val="003E0232"/>
    <w:rsid w:val="003E4D8B"/>
    <w:rsid w:val="003F0674"/>
    <w:rsid w:val="00404027"/>
    <w:rsid w:val="004118B6"/>
    <w:rsid w:val="00413C13"/>
    <w:rsid w:val="00417D2B"/>
    <w:rsid w:val="00427196"/>
    <w:rsid w:val="004340C8"/>
    <w:rsid w:val="00437C59"/>
    <w:rsid w:val="00446C31"/>
    <w:rsid w:val="00451B06"/>
    <w:rsid w:val="004540EE"/>
    <w:rsid w:val="00466EA0"/>
    <w:rsid w:val="00467A3A"/>
    <w:rsid w:val="0047243E"/>
    <w:rsid w:val="0048507A"/>
    <w:rsid w:val="00491FFA"/>
    <w:rsid w:val="00495958"/>
    <w:rsid w:val="004A21E1"/>
    <w:rsid w:val="004A26A2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31965"/>
    <w:rsid w:val="00553503"/>
    <w:rsid w:val="00556FF5"/>
    <w:rsid w:val="0056021A"/>
    <w:rsid w:val="00562F17"/>
    <w:rsid w:val="00574C73"/>
    <w:rsid w:val="00575AC8"/>
    <w:rsid w:val="00576002"/>
    <w:rsid w:val="00581772"/>
    <w:rsid w:val="00584D88"/>
    <w:rsid w:val="00590429"/>
    <w:rsid w:val="005965D6"/>
    <w:rsid w:val="005A1B38"/>
    <w:rsid w:val="005A5B17"/>
    <w:rsid w:val="005A7E4B"/>
    <w:rsid w:val="005B570C"/>
    <w:rsid w:val="005C491D"/>
    <w:rsid w:val="005D075A"/>
    <w:rsid w:val="005E1AF9"/>
    <w:rsid w:val="005E2277"/>
    <w:rsid w:val="005E64AA"/>
    <w:rsid w:val="005F0968"/>
    <w:rsid w:val="005F3EE3"/>
    <w:rsid w:val="00605150"/>
    <w:rsid w:val="00610506"/>
    <w:rsid w:val="006135B1"/>
    <w:rsid w:val="006169B8"/>
    <w:rsid w:val="00630608"/>
    <w:rsid w:val="006317AB"/>
    <w:rsid w:val="00633610"/>
    <w:rsid w:val="006342A8"/>
    <w:rsid w:val="006350AB"/>
    <w:rsid w:val="006365B5"/>
    <w:rsid w:val="00637ADC"/>
    <w:rsid w:val="006421E5"/>
    <w:rsid w:val="00657E0A"/>
    <w:rsid w:val="006761CD"/>
    <w:rsid w:val="00683060"/>
    <w:rsid w:val="00690080"/>
    <w:rsid w:val="00691D50"/>
    <w:rsid w:val="00696A6C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172D9"/>
    <w:rsid w:val="00721E88"/>
    <w:rsid w:val="007224EB"/>
    <w:rsid w:val="00722CB9"/>
    <w:rsid w:val="00725E07"/>
    <w:rsid w:val="00730420"/>
    <w:rsid w:val="00732817"/>
    <w:rsid w:val="00733608"/>
    <w:rsid w:val="007367C1"/>
    <w:rsid w:val="007372CD"/>
    <w:rsid w:val="00740348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30CA"/>
    <w:rsid w:val="007B72B7"/>
    <w:rsid w:val="007B78C9"/>
    <w:rsid w:val="007C3A4B"/>
    <w:rsid w:val="007E674C"/>
    <w:rsid w:val="007F05DC"/>
    <w:rsid w:val="007F4653"/>
    <w:rsid w:val="007F486F"/>
    <w:rsid w:val="00803A6A"/>
    <w:rsid w:val="00806379"/>
    <w:rsid w:val="00806AB0"/>
    <w:rsid w:val="008078F7"/>
    <w:rsid w:val="00807C3A"/>
    <w:rsid w:val="00812874"/>
    <w:rsid w:val="00814FC5"/>
    <w:rsid w:val="00821DFE"/>
    <w:rsid w:val="008347E9"/>
    <w:rsid w:val="00842AD9"/>
    <w:rsid w:val="00844195"/>
    <w:rsid w:val="00852D7B"/>
    <w:rsid w:val="00855DF8"/>
    <w:rsid w:val="0088235C"/>
    <w:rsid w:val="00887E97"/>
    <w:rsid w:val="008945EA"/>
    <w:rsid w:val="008A3209"/>
    <w:rsid w:val="008A64AD"/>
    <w:rsid w:val="008A689A"/>
    <w:rsid w:val="008E0006"/>
    <w:rsid w:val="008E54A7"/>
    <w:rsid w:val="008E7AFD"/>
    <w:rsid w:val="008F7084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A24AC"/>
    <w:rsid w:val="009C482A"/>
    <w:rsid w:val="009C6347"/>
    <w:rsid w:val="009C7FE1"/>
    <w:rsid w:val="009D1164"/>
    <w:rsid w:val="009E28EF"/>
    <w:rsid w:val="009F16C9"/>
    <w:rsid w:val="009F2326"/>
    <w:rsid w:val="00A00212"/>
    <w:rsid w:val="00A032E0"/>
    <w:rsid w:val="00A05A71"/>
    <w:rsid w:val="00A07C26"/>
    <w:rsid w:val="00A20C0F"/>
    <w:rsid w:val="00A21BE5"/>
    <w:rsid w:val="00A22C1A"/>
    <w:rsid w:val="00A25D53"/>
    <w:rsid w:val="00A450C1"/>
    <w:rsid w:val="00A4578C"/>
    <w:rsid w:val="00A47937"/>
    <w:rsid w:val="00A66F45"/>
    <w:rsid w:val="00A722CE"/>
    <w:rsid w:val="00A735E4"/>
    <w:rsid w:val="00AB53D1"/>
    <w:rsid w:val="00AC0790"/>
    <w:rsid w:val="00AC12D7"/>
    <w:rsid w:val="00AC4359"/>
    <w:rsid w:val="00AC7CDE"/>
    <w:rsid w:val="00AD558F"/>
    <w:rsid w:val="00AD5E04"/>
    <w:rsid w:val="00AE2DA2"/>
    <w:rsid w:val="00B020F5"/>
    <w:rsid w:val="00B03570"/>
    <w:rsid w:val="00B15284"/>
    <w:rsid w:val="00B33523"/>
    <w:rsid w:val="00B4205F"/>
    <w:rsid w:val="00B42469"/>
    <w:rsid w:val="00B44FB5"/>
    <w:rsid w:val="00B466B4"/>
    <w:rsid w:val="00B71F10"/>
    <w:rsid w:val="00B93E97"/>
    <w:rsid w:val="00BA1DB8"/>
    <w:rsid w:val="00BA58F5"/>
    <w:rsid w:val="00BB248B"/>
    <w:rsid w:val="00BC3C60"/>
    <w:rsid w:val="00BC6C87"/>
    <w:rsid w:val="00BD5EC1"/>
    <w:rsid w:val="00BE070B"/>
    <w:rsid w:val="00BE1EDD"/>
    <w:rsid w:val="00BE6A47"/>
    <w:rsid w:val="00BF33D1"/>
    <w:rsid w:val="00BF403D"/>
    <w:rsid w:val="00BF7077"/>
    <w:rsid w:val="00C118E8"/>
    <w:rsid w:val="00C13CC6"/>
    <w:rsid w:val="00C21176"/>
    <w:rsid w:val="00C257ED"/>
    <w:rsid w:val="00C407D4"/>
    <w:rsid w:val="00C50E69"/>
    <w:rsid w:val="00C536AE"/>
    <w:rsid w:val="00C56170"/>
    <w:rsid w:val="00C561DF"/>
    <w:rsid w:val="00C61B7B"/>
    <w:rsid w:val="00C6235D"/>
    <w:rsid w:val="00C720CE"/>
    <w:rsid w:val="00C73436"/>
    <w:rsid w:val="00C84550"/>
    <w:rsid w:val="00C85517"/>
    <w:rsid w:val="00C86E63"/>
    <w:rsid w:val="00C91AB5"/>
    <w:rsid w:val="00C95779"/>
    <w:rsid w:val="00CA2D3F"/>
    <w:rsid w:val="00CA4723"/>
    <w:rsid w:val="00CB2123"/>
    <w:rsid w:val="00CB3AEC"/>
    <w:rsid w:val="00CC33AD"/>
    <w:rsid w:val="00CC48F5"/>
    <w:rsid w:val="00CE09F6"/>
    <w:rsid w:val="00D07160"/>
    <w:rsid w:val="00D11F5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466D"/>
    <w:rsid w:val="00D570FB"/>
    <w:rsid w:val="00D57BDC"/>
    <w:rsid w:val="00D62D31"/>
    <w:rsid w:val="00D63459"/>
    <w:rsid w:val="00D720D5"/>
    <w:rsid w:val="00DA5D3B"/>
    <w:rsid w:val="00DB4B6B"/>
    <w:rsid w:val="00DC041F"/>
    <w:rsid w:val="00DC0BC9"/>
    <w:rsid w:val="00DD26B0"/>
    <w:rsid w:val="00DE7BE6"/>
    <w:rsid w:val="00DE7F19"/>
    <w:rsid w:val="00DF32AC"/>
    <w:rsid w:val="00E17E29"/>
    <w:rsid w:val="00E24F4A"/>
    <w:rsid w:val="00E25F2E"/>
    <w:rsid w:val="00E27018"/>
    <w:rsid w:val="00E31B0A"/>
    <w:rsid w:val="00E40EB7"/>
    <w:rsid w:val="00E454B5"/>
    <w:rsid w:val="00E667A4"/>
    <w:rsid w:val="00E76F46"/>
    <w:rsid w:val="00E77447"/>
    <w:rsid w:val="00E77976"/>
    <w:rsid w:val="00EA1F92"/>
    <w:rsid w:val="00EA7A9F"/>
    <w:rsid w:val="00EB262D"/>
    <w:rsid w:val="00EB5733"/>
    <w:rsid w:val="00EC16E4"/>
    <w:rsid w:val="00EC33D8"/>
    <w:rsid w:val="00ED1412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259C9"/>
    <w:rsid w:val="00F3232E"/>
    <w:rsid w:val="00F328DC"/>
    <w:rsid w:val="00F33FC4"/>
    <w:rsid w:val="00F438DB"/>
    <w:rsid w:val="00F4754D"/>
    <w:rsid w:val="00F47AC3"/>
    <w:rsid w:val="00F54032"/>
    <w:rsid w:val="00F568C2"/>
    <w:rsid w:val="00F61C96"/>
    <w:rsid w:val="00F65572"/>
    <w:rsid w:val="00F65660"/>
    <w:rsid w:val="00F91F77"/>
    <w:rsid w:val="00F92136"/>
    <w:rsid w:val="00F92E2B"/>
    <w:rsid w:val="00FA0B51"/>
    <w:rsid w:val="00FB2BDB"/>
    <w:rsid w:val="00FB4CFE"/>
    <w:rsid w:val="00FB537F"/>
    <w:rsid w:val="00FB5E90"/>
    <w:rsid w:val="00FB7F1F"/>
    <w:rsid w:val="00FD1801"/>
    <w:rsid w:val="00FD7D2F"/>
    <w:rsid w:val="00FF1CCD"/>
    <w:rsid w:val="00FF597E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24270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Windows User</cp:lastModifiedBy>
  <cp:revision>11</cp:revision>
  <cp:lastPrinted>2020-12-30T10:28:00Z</cp:lastPrinted>
  <dcterms:created xsi:type="dcterms:W3CDTF">2021-02-03T10:48:00Z</dcterms:created>
  <dcterms:modified xsi:type="dcterms:W3CDTF">2021-03-02T02:34:00Z</dcterms:modified>
</cp:coreProperties>
</file>