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4A21E1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“乾元-私享”2020年第128期私人银行人民币理财产品</w:t>
      </w:r>
      <w:r w:rsidR="00F842A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年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A722CE">
        <w:rPr>
          <w:rFonts w:asciiTheme="minorEastAsia" w:eastAsiaTheme="minorEastAsia" w:hAnsiTheme="minor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>
        <w:rPr>
          <w:rFonts w:asciiTheme="minorEastAsia" w:eastAsiaTheme="minorEastAsia" w:hAnsiTheme="minorEastAsia"/>
          <w:color w:val="000000"/>
          <w:szCs w:val="21"/>
        </w:rPr>
        <w:t>3</w:t>
      </w:r>
      <w:r w:rsidR="00A722CE">
        <w:rPr>
          <w:rFonts w:asciiTheme="minorEastAsia" w:eastAsiaTheme="minorEastAsia" w:hAnsiTheme="minorEastAsia"/>
          <w:color w:val="000000"/>
          <w:szCs w:val="21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4A21E1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“乾元-私享”2020年第128期私人银行人民币理财产品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8F7084">
        <w:rPr>
          <w:rFonts w:asciiTheme="minorEastAsia" w:eastAsiaTheme="minorEastAsia" w:hAnsiTheme="minorEastAsia"/>
          <w:color w:val="000000"/>
          <w:sz w:val="28"/>
          <w:szCs w:val="28"/>
        </w:rPr>
        <w:t>2020年</w:t>
      </w:r>
      <w:r w:rsidR="008347E9">
        <w:rPr>
          <w:rFonts w:asciiTheme="minorEastAsia" w:eastAsiaTheme="minorEastAsia" w:hAnsiTheme="minorEastAsia"/>
          <w:color w:val="000000"/>
          <w:sz w:val="28"/>
          <w:szCs w:val="28"/>
        </w:rPr>
        <w:t>8</w:t>
      </w:r>
      <w:r w:rsidR="008F7084">
        <w:rPr>
          <w:rFonts w:asciiTheme="minorEastAsia" w:eastAsiaTheme="minorEastAsia" w:hAnsiTheme="minor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13</w:t>
      </w:r>
      <w:r w:rsidR="008F7084">
        <w:rPr>
          <w:rFonts w:asciiTheme="minorEastAsia" w:eastAsiaTheme="minorEastAsia" w:hAnsiTheme="minor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4A21E1">
        <w:rPr>
          <w:rFonts w:asciiTheme="minorEastAsia" w:eastAsiaTheme="minorEastAsia" w:hAnsiTheme="minorEastAsia"/>
          <w:color w:val="000000"/>
          <w:sz w:val="28"/>
          <w:szCs w:val="28"/>
        </w:rPr>
        <w:t>36,452.00</w:t>
      </w:r>
      <w:r w:rsidR="008347E9">
        <w:rPr>
          <w:rFonts w:asciiTheme="minorEastAsia" w:eastAsiaTheme="minorEastAsia" w:hAnsiTheme="minorEastAsia"/>
          <w:color w:val="000000"/>
          <w:sz w:val="28"/>
          <w:szCs w:val="28"/>
        </w:rPr>
        <w:t>万元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4A21E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t>238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8347E9" w:rsidP="004A21E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3.</w:t>
            </w:r>
            <w:r w:rsidR="004A21E1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57</w:t>
            </w:r>
            <w:r w:rsidR="008F7084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%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1401"/>
        <w:gridCol w:w="1400"/>
        <w:gridCol w:w="1401"/>
        <w:gridCol w:w="1308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4A21E1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“乾元-私享”2020年第128期私人银行人民币理财产品</w:t>
            </w:r>
          </w:p>
        </w:tc>
        <w:tc>
          <w:tcPr>
            <w:tcW w:w="1418" w:type="dxa"/>
            <w:vAlign w:val="center"/>
          </w:tcPr>
          <w:p w:rsidR="00E31B0A" w:rsidRPr="00E31B0A" w:rsidRDefault="00C50E69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50E69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2020/8/10</w:t>
            </w:r>
          </w:p>
        </w:tc>
        <w:tc>
          <w:tcPr>
            <w:tcW w:w="1417" w:type="dxa"/>
            <w:vAlign w:val="center"/>
          </w:tcPr>
          <w:p w:rsidR="00E31B0A" w:rsidRPr="00E31B0A" w:rsidRDefault="00C50E69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50E69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2020/8/12</w:t>
            </w:r>
          </w:p>
        </w:tc>
        <w:tc>
          <w:tcPr>
            <w:tcW w:w="1418" w:type="dxa"/>
            <w:vAlign w:val="center"/>
          </w:tcPr>
          <w:p w:rsidR="00E31B0A" w:rsidRPr="00E31B0A" w:rsidRDefault="00C50E69" w:rsidP="008F708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50E69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2020/8/13</w:t>
            </w:r>
          </w:p>
        </w:tc>
        <w:tc>
          <w:tcPr>
            <w:tcW w:w="1326" w:type="dxa"/>
            <w:vAlign w:val="center"/>
          </w:tcPr>
          <w:p w:rsidR="00E31B0A" w:rsidRPr="00E31B0A" w:rsidRDefault="00C50E69" w:rsidP="008F708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50E69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2021/4/8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701"/>
        <w:gridCol w:w="1559"/>
        <w:gridCol w:w="1701"/>
        <w:gridCol w:w="1559"/>
      </w:tblGrid>
      <w:tr w:rsidR="005204A8" w:rsidTr="00A21BE5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701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59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701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59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C50E69" w:rsidTr="0083493C">
        <w:trPr>
          <w:trHeight w:val="285"/>
          <w:jc w:val="center"/>
        </w:trPr>
        <w:tc>
          <w:tcPr>
            <w:tcW w:w="2547" w:type="dxa"/>
            <w:vAlign w:val="center"/>
          </w:tcPr>
          <w:p w:rsidR="00C50E69" w:rsidRDefault="00C50E69" w:rsidP="00C50E6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701" w:type="dxa"/>
            <w:vAlign w:val="center"/>
          </w:tcPr>
          <w:p w:rsidR="00C50E69" w:rsidRDefault="00C50E69" w:rsidP="00C50E6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50E69">
              <w:rPr>
                <w:rFonts w:ascii="宋体" w:hAnsi="宋体" w:cs="宋体"/>
                <w:kern w:val="0"/>
              </w:rPr>
              <w:t>71,702,022.06</w:t>
            </w:r>
          </w:p>
        </w:tc>
        <w:tc>
          <w:tcPr>
            <w:tcW w:w="1559" w:type="dxa"/>
            <w:vAlign w:val="center"/>
          </w:tcPr>
          <w:p w:rsidR="00C50E69" w:rsidRPr="002E75ED" w:rsidRDefault="00C50E69" w:rsidP="00C50E6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19.07%</w:t>
            </w:r>
          </w:p>
        </w:tc>
        <w:tc>
          <w:tcPr>
            <w:tcW w:w="1701" w:type="dxa"/>
            <w:vAlign w:val="center"/>
          </w:tcPr>
          <w:p w:rsidR="00C50E69" w:rsidRDefault="00C50E69" w:rsidP="00C50E6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50E69">
              <w:rPr>
                <w:rFonts w:ascii="宋体" w:hAnsi="宋体" w:cs="宋体"/>
                <w:kern w:val="0"/>
              </w:rPr>
              <w:t>71,702,022.06</w:t>
            </w:r>
          </w:p>
        </w:tc>
        <w:tc>
          <w:tcPr>
            <w:tcW w:w="1559" w:type="dxa"/>
            <w:vAlign w:val="center"/>
          </w:tcPr>
          <w:p w:rsidR="00C50E69" w:rsidRPr="002E75ED" w:rsidRDefault="00C50E69" w:rsidP="00C50E6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19.07%</w:t>
            </w:r>
          </w:p>
        </w:tc>
      </w:tr>
      <w:tr w:rsidR="00C50E69" w:rsidTr="0083493C">
        <w:trPr>
          <w:trHeight w:val="285"/>
          <w:jc w:val="center"/>
        </w:trPr>
        <w:tc>
          <w:tcPr>
            <w:tcW w:w="2547" w:type="dxa"/>
            <w:vAlign w:val="center"/>
          </w:tcPr>
          <w:p w:rsidR="00C50E69" w:rsidRDefault="00C50E69" w:rsidP="00C50E6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E64AA">
              <w:rPr>
                <w:rFonts w:ascii="宋体" w:hAnsi="宋体" w:cs="宋体" w:hint="eastAsia"/>
                <w:kern w:val="0"/>
              </w:rPr>
              <w:lastRenderedPageBreak/>
              <w:t>非标准化债权类资产</w:t>
            </w:r>
          </w:p>
        </w:tc>
        <w:tc>
          <w:tcPr>
            <w:tcW w:w="1701" w:type="dxa"/>
            <w:vAlign w:val="center"/>
          </w:tcPr>
          <w:p w:rsidR="00C50E69" w:rsidRDefault="00C50E69" w:rsidP="00C50E6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50E69">
              <w:rPr>
                <w:rFonts w:ascii="宋体" w:hAnsi="宋体" w:cs="宋体"/>
                <w:kern w:val="0"/>
              </w:rPr>
              <w:t>105,751,666.67</w:t>
            </w:r>
          </w:p>
        </w:tc>
        <w:tc>
          <w:tcPr>
            <w:tcW w:w="1559" w:type="dxa"/>
            <w:vAlign w:val="center"/>
          </w:tcPr>
          <w:p w:rsidR="00C50E69" w:rsidRPr="002E75ED" w:rsidRDefault="00C50E69" w:rsidP="00C50E6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28.12</w:t>
            </w:r>
            <w:r w:rsidRPr="00A21BE5">
              <w:rPr>
                <w:rFonts w:ascii="宋体" w:hAnsi="宋体" w:cs="宋体"/>
                <w:kern w:val="0"/>
              </w:rPr>
              <w:t>%</w:t>
            </w:r>
          </w:p>
        </w:tc>
        <w:tc>
          <w:tcPr>
            <w:tcW w:w="1701" w:type="dxa"/>
            <w:vAlign w:val="center"/>
          </w:tcPr>
          <w:p w:rsidR="00C50E69" w:rsidRDefault="00C50E69" w:rsidP="00C50E6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50E69">
              <w:rPr>
                <w:rFonts w:ascii="宋体" w:hAnsi="宋体" w:cs="宋体"/>
                <w:kern w:val="0"/>
              </w:rPr>
              <w:t>105,751,666.67</w:t>
            </w:r>
          </w:p>
        </w:tc>
        <w:tc>
          <w:tcPr>
            <w:tcW w:w="1559" w:type="dxa"/>
            <w:vAlign w:val="center"/>
          </w:tcPr>
          <w:p w:rsidR="00C50E69" w:rsidRPr="002E75ED" w:rsidRDefault="00C50E69" w:rsidP="00C50E6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28.12</w:t>
            </w:r>
            <w:r w:rsidRPr="00A21BE5">
              <w:rPr>
                <w:rFonts w:ascii="宋体" w:hAnsi="宋体" w:cs="宋体"/>
                <w:kern w:val="0"/>
              </w:rPr>
              <w:t>%</w:t>
            </w:r>
          </w:p>
        </w:tc>
      </w:tr>
      <w:tr w:rsidR="00C50E69" w:rsidTr="0083493C">
        <w:trPr>
          <w:trHeight w:val="285"/>
          <w:jc w:val="center"/>
        </w:trPr>
        <w:tc>
          <w:tcPr>
            <w:tcW w:w="2547" w:type="dxa"/>
            <w:vAlign w:val="center"/>
          </w:tcPr>
          <w:p w:rsidR="00C50E69" w:rsidRPr="005E64AA" w:rsidRDefault="00C50E69" w:rsidP="00C50E6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50E69">
              <w:rPr>
                <w:rFonts w:ascii="宋体" w:hAnsi="宋体" w:cs="宋体" w:hint="eastAsia"/>
                <w:kern w:val="0"/>
              </w:rPr>
              <w:t>同业存单</w:t>
            </w:r>
          </w:p>
        </w:tc>
        <w:tc>
          <w:tcPr>
            <w:tcW w:w="1701" w:type="dxa"/>
            <w:vAlign w:val="center"/>
          </w:tcPr>
          <w:p w:rsidR="00C50E69" w:rsidRPr="001D7934" w:rsidRDefault="00C50E69" w:rsidP="00C50E6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50E69">
              <w:rPr>
                <w:rFonts w:ascii="宋体" w:hAnsi="宋体" w:cs="宋体"/>
                <w:kern w:val="0"/>
              </w:rPr>
              <w:t>198,580,962.88</w:t>
            </w:r>
          </w:p>
        </w:tc>
        <w:tc>
          <w:tcPr>
            <w:tcW w:w="1559" w:type="dxa"/>
            <w:vAlign w:val="center"/>
          </w:tcPr>
          <w:p w:rsidR="00C50E69" w:rsidRDefault="00C50E69" w:rsidP="00C50E6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52.81</w:t>
            </w:r>
            <w:r w:rsidRPr="00A21BE5">
              <w:rPr>
                <w:rFonts w:ascii="宋体" w:hAnsi="宋体" w:cs="宋体"/>
                <w:kern w:val="0"/>
              </w:rPr>
              <w:t>%</w:t>
            </w:r>
          </w:p>
        </w:tc>
        <w:tc>
          <w:tcPr>
            <w:tcW w:w="1701" w:type="dxa"/>
            <w:vAlign w:val="center"/>
          </w:tcPr>
          <w:p w:rsidR="00C50E69" w:rsidRPr="001D7934" w:rsidRDefault="00C50E69" w:rsidP="00C50E6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50E69">
              <w:rPr>
                <w:rFonts w:ascii="宋体" w:hAnsi="宋体" w:cs="宋体"/>
                <w:kern w:val="0"/>
              </w:rPr>
              <w:t>198,580,962.88</w:t>
            </w:r>
          </w:p>
        </w:tc>
        <w:tc>
          <w:tcPr>
            <w:tcW w:w="1559" w:type="dxa"/>
            <w:vAlign w:val="center"/>
          </w:tcPr>
          <w:p w:rsidR="00C50E69" w:rsidRDefault="00C50E69" w:rsidP="00C50E6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52.81</w:t>
            </w:r>
            <w:r w:rsidRPr="00A21BE5">
              <w:rPr>
                <w:rFonts w:ascii="宋体" w:hAnsi="宋体" w:cs="宋体"/>
                <w:kern w:val="0"/>
              </w:rPr>
              <w:t>%</w:t>
            </w:r>
          </w:p>
        </w:tc>
      </w:tr>
      <w:tr w:rsidR="00C50E69" w:rsidTr="00A21BE5">
        <w:trPr>
          <w:trHeight w:val="285"/>
          <w:jc w:val="center"/>
        </w:trPr>
        <w:tc>
          <w:tcPr>
            <w:tcW w:w="2547" w:type="dxa"/>
            <w:vAlign w:val="center"/>
          </w:tcPr>
          <w:p w:rsidR="00C50E69" w:rsidRDefault="00C50E69" w:rsidP="00C50E6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701" w:type="dxa"/>
            <w:vAlign w:val="center"/>
          </w:tcPr>
          <w:p w:rsidR="00C50E69" w:rsidRDefault="00C50E69" w:rsidP="00C50E6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50E69">
              <w:rPr>
                <w:rFonts w:ascii="宋体" w:hAnsi="宋体" w:cs="宋体"/>
                <w:kern w:val="0"/>
              </w:rPr>
              <w:t>376,034,651.61</w:t>
            </w:r>
          </w:p>
        </w:tc>
        <w:tc>
          <w:tcPr>
            <w:tcW w:w="1559" w:type="dxa"/>
            <w:vAlign w:val="center"/>
          </w:tcPr>
          <w:p w:rsidR="00C50E69" w:rsidRDefault="00C50E69" w:rsidP="00C50E6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  <w:tc>
          <w:tcPr>
            <w:tcW w:w="1701" w:type="dxa"/>
            <w:vAlign w:val="center"/>
          </w:tcPr>
          <w:p w:rsidR="00C50E69" w:rsidRDefault="00C50E69" w:rsidP="00C50E6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50E69">
              <w:rPr>
                <w:rFonts w:ascii="宋体" w:hAnsi="宋体" w:cs="宋体"/>
                <w:kern w:val="0"/>
              </w:rPr>
              <w:t>376,034,651.61</w:t>
            </w:r>
          </w:p>
        </w:tc>
        <w:tc>
          <w:tcPr>
            <w:tcW w:w="1559" w:type="dxa"/>
            <w:vAlign w:val="center"/>
          </w:tcPr>
          <w:p w:rsidR="00C50E69" w:rsidRDefault="00C50E69" w:rsidP="00C50E6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3558"/>
        <w:gridCol w:w="1785"/>
        <w:gridCol w:w="1721"/>
      </w:tblGrid>
      <w:tr w:rsidR="005204A8" w:rsidRPr="00437C59" w:rsidTr="005E64AA">
        <w:trPr>
          <w:trHeight w:val="589"/>
          <w:jc w:val="center"/>
        </w:trPr>
        <w:tc>
          <w:tcPr>
            <w:tcW w:w="1232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558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785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72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6021A" w:rsidRPr="00437C59" w:rsidTr="005E64AA">
        <w:trPr>
          <w:trHeight w:val="589"/>
          <w:jc w:val="center"/>
        </w:trPr>
        <w:tc>
          <w:tcPr>
            <w:tcW w:w="1232" w:type="dxa"/>
            <w:vAlign w:val="center"/>
          </w:tcPr>
          <w:p w:rsidR="0056021A" w:rsidRDefault="0056021A" w:rsidP="005602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3558" w:type="dxa"/>
            <w:vAlign w:val="center"/>
          </w:tcPr>
          <w:p w:rsidR="0056021A" w:rsidRPr="00ED1412" w:rsidRDefault="0056021A" w:rsidP="0056021A">
            <w:pPr>
              <w:jc w:val="center"/>
              <w:rPr>
                <w:rFonts w:asciiTheme="minorEastAsia" w:eastAsiaTheme="minorEastAsia" w:hAnsiTheme="minorEastAsia"/>
              </w:rPr>
            </w:pPr>
            <w:r w:rsidRPr="0056021A">
              <w:rPr>
                <w:rFonts w:asciiTheme="minorEastAsia" w:eastAsiaTheme="minorEastAsia" w:hAnsiTheme="minorEastAsia" w:hint="eastAsia"/>
              </w:rPr>
              <w:t>17深嘉霖OB001</w:t>
            </w:r>
          </w:p>
        </w:tc>
        <w:tc>
          <w:tcPr>
            <w:tcW w:w="1785" w:type="dxa"/>
            <w:vAlign w:val="center"/>
          </w:tcPr>
          <w:p w:rsidR="0056021A" w:rsidRDefault="0056021A" w:rsidP="0056021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50E69">
              <w:rPr>
                <w:rFonts w:ascii="宋体" w:hAnsi="宋体" w:cs="宋体"/>
                <w:kern w:val="0"/>
              </w:rPr>
              <w:t>105,751,666.67</w:t>
            </w:r>
          </w:p>
        </w:tc>
        <w:tc>
          <w:tcPr>
            <w:tcW w:w="1721" w:type="dxa"/>
            <w:vAlign w:val="center"/>
          </w:tcPr>
          <w:p w:rsidR="0056021A" w:rsidRPr="002E75ED" w:rsidRDefault="0056021A" w:rsidP="0056021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28.12</w:t>
            </w:r>
            <w:r w:rsidRPr="00A21BE5">
              <w:rPr>
                <w:rFonts w:ascii="宋体" w:hAnsi="宋体" w:cs="宋体"/>
                <w:kern w:val="0"/>
              </w:rPr>
              <w:t>%</w:t>
            </w:r>
          </w:p>
        </w:tc>
      </w:tr>
      <w:tr w:rsidR="0056021A" w:rsidRPr="00437C59" w:rsidTr="00014A40">
        <w:trPr>
          <w:trHeight w:val="496"/>
          <w:jc w:val="center"/>
        </w:trPr>
        <w:tc>
          <w:tcPr>
            <w:tcW w:w="1232" w:type="dxa"/>
            <w:vAlign w:val="center"/>
          </w:tcPr>
          <w:p w:rsidR="0056021A" w:rsidRDefault="0056021A" w:rsidP="005602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3558" w:type="dxa"/>
            <w:vAlign w:val="center"/>
          </w:tcPr>
          <w:p w:rsidR="0056021A" w:rsidRPr="00C720CE" w:rsidRDefault="0056021A" w:rsidP="0056021A">
            <w:pPr>
              <w:jc w:val="center"/>
              <w:rPr>
                <w:rFonts w:asciiTheme="minorEastAsia" w:eastAsiaTheme="minorEastAsia" w:hAnsiTheme="minorEastAsia"/>
              </w:rPr>
            </w:pPr>
            <w:r w:rsidRPr="0056021A">
              <w:rPr>
                <w:rFonts w:asciiTheme="minorEastAsia" w:eastAsiaTheme="minorEastAsia" w:hAnsiTheme="minorEastAsia" w:hint="eastAsia"/>
              </w:rPr>
              <w:t>20民生银行CD182</w:t>
            </w:r>
          </w:p>
        </w:tc>
        <w:tc>
          <w:tcPr>
            <w:tcW w:w="1785" w:type="dxa"/>
            <w:vAlign w:val="center"/>
          </w:tcPr>
          <w:p w:rsidR="0056021A" w:rsidRPr="001D7934" w:rsidRDefault="0056021A" w:rsidP="0056021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50E69">
              <w:rPr>
                <w:rFonts w:ascii="宋体" w:hAnsi="宋体" w:cs="宋体"/>
                <w:kern w:val="0"/>
              </w:rPr>
              <w:t>198,580,962.88</w:t>
            </w:r>
          </w:p>
        </w:tc>
        <w:tc>
          <w:tcPr>
            <w:tcW w:w="1721" w:type="dxa"/>
            <w:vAlign w:val="center"/>
          </w:tcPr>
          <w:p w:rsidR="0056021A" w:rsidRDefault="0056021A" w:rsidP="0056021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52.81</w:t>
            </w:r>
            <w:r w:rsidRPr="00A21BE5">
              <w:rPr>
                <w:rFonts w:ascii="宋体" w:hAnsi="宋体" w:cs="宋体"/>
                <w:kern w:val="0"/>
              </w:rPr>
              <w:t>%</w:t>
            </w:r>
          </w:p>
        </w:tc>
      </w:tr>
      <w:tr w:rsidR="00BA1DB8" w:rsidRPr="00437C59" w:rsidTr="005E64AA">
        <w:trPr>
          <w:trHeight w:val="496"/>
          <w:jc w:val="center"/>
        </w:trPr>
        <w:tc>
          <w:tcPr>
            <w:tcW w:w="1232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3558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1DB8" w:rsidRPr="00437C59" w:rsidTr="005E64AA">
        <w:trPr>
          <w:trHeight w:val="496"/>
          <w:jc w:val="center"/>
        </w:trPr>
        <w:tc>
          <w:tcPr>
            <w:tcW w:w="1232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</w:t>
            </w:r>
          </w:p>
        </w:tc>
        <w:tc>
          <w:tcPr>
            <w:tcW w:w="3558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1DB8" w:rsidRPr="00437C59" w:rsidTr="005E64AA">
        <w:trPr>
          <w:trHeight w:val="496"/>
          <w:jc w:val="center"/>
        </w:trPr>
        <w:tc>
          <w:tcPr>
            <w:tcW w:w="1232" w:type="dxa"/>
            <w:vAlign w:val="center"/>
          </w:tcPr>
          <w:p w:rsidR="00BA1DB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5</w:t>
            </w:r>
          </w:p>
        </w:tc>
        <w:tc>
          <w:tcPr>
            <w:tcW w:w="3558" w:type="dxa"/>
            <w:vAlign w:val="center"/>
          </w:tcPr>
          <w:p w:rsidR="00BA1DB8" w:rsidRPr="0083085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BA1DB8" w:rsidRPr="0083085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3B5CC6" w:rsidRDefault="00213FFE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213FFE">
              <w:rPr>
                <w:rFonts w:ascii="宋体" w:hAnsi="宋体" w:cs="宋体"/>
                <w:kern w:val="0"/>
              </w:rPr>
              <w:t>44050186320100001363-1114</w:t>
            </w:r>
          </w:p>
        </w:tc>
        <w:tc>
          <w:tcPr>
            <w:tcW w:w="1843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2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B5CC6" w:rsidTr="002530CA">
        <w:tc>
          <w:tcPr>
            <w:tcW w:w="8522" w:type="dxa"/>
          </w:tcPr>
          <w:p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F842A8" w:rsidRDefault="00F842A8" w:rsidP="00F842A8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2021年2月23日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4A21E1" w:rsidP="005204A8">
      <w:pPr>
        <w:jc w:val="center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“乾元</w:t>
      </w:r>
      <w:r>
        <w:rPr>
          <w:rFonts w:hint="eastAsia"/>
          <w:b/>
          <w:color w:val="000000"/>
          <w:sz w:val="24"/>
          <w:szCs w:val="24"/>
        </w:rPr>
        <w:t>-</w:t>
      </w:r>
      <w:r>
        <w:rPr>
          <w:rFonts w:hint="eastAsia"/>
          <w:b/>
          <w:color w:val="000000"/>
          <w:sz w:val="24"/>
          <w:szCs w:val="24"/>
        </w:rPr>
        <w:t>私享”</w:t>
      </w:r>
      <w:r>
        <w:rPr>
          <w:rFonts w:hint="eastAsia"/>
          <w:b/>
          <w:color w:val="000000"/>
          <w:sz w:val="24"/>
          <w:szCs w:val="24"/>
        </w:rPr>
        <w:t>2020</w:t>
      </w:r>
      <w:r>
        <w:rPr>
          <w:rFonts w:hint="eastAsia"/>
          <w:b/>
          <w:color w:val="000000"/>
          <w:sz w:val="24"/>
          <w:szCs w:val="24"/>
        </w:rPr>
        <w:t>年第</w:t>
      </w:r>
      <w:r>
        <w:rPr>
          <w:rFonts w:hint="eastAsia"/>
          <w:b/>
          <w:color w:val="000000"/>
          <w:sz w:val="24"/>
          <w:szCs w:val="24"/>
        </w:rPr>
        <w:t>128</w:t>
      </w:r>
      <w:r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3C6C1B">
        <w:rPr>
          <w:rFonts w:ascii="宋体" w:hAnsi="宋体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D11F50">
        <w:rPr>
          <w:rFonts w:ascii="宋体" w:hAnsi="宋体"/>
          <w:color w:val="000000"/>
          <w:szCs w:val="21"/>
        </w:rPr>
        <w:t>3</w:t>
      </w:r>
      <w:r w:rsidR="003C6C1B"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56021A" w:rsidRPr="0056021A">
        <w:rPr>
          <w:rFonts w:ascii="宋体" w:hAnsi="宋体" w:hint="eastAsia"/>
          <w:color w:val="000000"/>
          <w:szCs w:val="21"/>
        </w:rPr>
        <w:t>“乾元-私享”</w:t>
      </w:r>
      <w:r w:rsidR="004A21E1">
        <w:rPr>
          <w:rFonts w:ascii="宋体" w:hAnsi="宋体" w:hint="eastAsia"/>
          <w:color w:val="000000"/>
          <w:szCs w:val="21"/>
        </w:rPr>
        <w:t>2020年第128期私人银行人民币理财产品</w:t>
      </w:r>
      <w:r>
        <w:rPr>
          <w:rFonts w:ascii="宋体" w:hAnsi="宋体" w:hint="eastAsia"/>
          <w:color w:val="000000"/>
          <w:szCs w:val="21"/>
        </w:rPr>
        <w:t>投资非标准化债权及股权类资产清单披露如下：</w:t>
      </w:r>
    </w:p>
    <w:tbl>
      <w:tblPr>
        <w:tblW w:w="4971" w:type="pct"/>
        <w:jc w:val="center"/>
        <w:tblLayout w:type="fixed"/>
        <w:tblLook w:val="04A0" w:firstRow="1" w:lastRow="0" w:firstColumn="1" w:lastColumn="0" w:noHBand="0" w:noVBand="1"/>
      </w:tblPr>
      <w:tblGrid>
        <w:gridCol w:w="1737"/>
        <w:gridCol w:w="2760"/>
        <w:gridCol w:w="2072"/>
        <w:gridCol w:w="991"/>
        <w:gridCol w:w="688"/>
      </w:tblGrid>
      <w:tr w:rsidR="005204A8" w:rsidTr="00354859">
        <w:trPr>
          <w:trHeight w:val="765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6021A" w:rsidTr="00354859">
        <w:trPr>
          <w:trHeight w:val="240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1A" w:rsidRPr="0056021A" w:rsidRDefault="0056021A" w:rsidP="0056021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56021A">
              <w:rPr>
                <w:rFonts w:asciiTheme="minorEastAsia" w:eastAsiaTheme="minorEastAsia" w:hAnsiTheme="minorEastAsia" w:hint="eastAsia"/>
                <w:color w:val="000000"/>
              </w:rPr>
              <w:t>非标准化债权类资产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1A" w:rsidRPr="0056021A" w:rsidRDefault="0056021A" w:rsidP="0056021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6021A">
              <w:rPr>
                <w:rFonts w:asciiTheme="minorEastAsia" w:eastAsiaTheme="minorEastAsia" w:hAnsiTheme="minorEastAsia" w:hint="eastAsia"/>
                <w:color w:val="000000"/>
              </w:rPr>
              <w:t>深圳市嘉霖世纪实业有限公司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21A" w:rsidRPr="0056021A" w:rsidRDefault="0056021A" w:rsidP="0056021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6021A">
              <w:rPr>
                <w:rFonts w:asciiTheme="minorEastAsia" w:eastAsiaTheme="minorEastAsia" w:hAnsiTheme="minorEastAsia" w:hint="eastAsia"/>
                <w:color w:val="000000"/>
              </w:rPr>
              <w:t>17深嘉霖OB001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1A" w:rsidRPr="0056021A" w:rsidRDefault="0056021A" w:rsidP="0056021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6021A">
              <w:rPr>
                <w:rFonts w:asciiTheme="minorEastAsia" w:eastAsiaTheme="minorEastAsia" w:hAnsiTheme="minorEastAsia"/>
                <w:color w:val="000000"/>
              </w:rPr>
              <w:t>574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21A" w:rsidRDefault="0056021A" w:rsidP="0056021A">
            <w:pPr>
              <w:widowControl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  <w:tr w:rsidR="00B03570" w:rsidTr="00354859">
        <w:trPr>
          <w:trHeight w:val="240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3570" w:rsidRPr="0056021A" w:rsidRDefault="0056021A" w:rsidP="0056021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56021A">
              <w:rPr>
                <w:rFonts w:asciiTheme="minorEastAsia" w:eastAsiaTheme="minorEastAsia" w:hAnsiTheme="minorEastAsia" w:hint="eastAsia"/>
                <w:color w:val="000000"/>
              </w:rPr>
              <w:t>同业存单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3570" w:rsidRPr="0056021A" w:rsidRDefault="0056021A" w:rsidP="0056021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6021A">
              <w:rPr>
                <w:rFonts w:asciiTheme="minorEastAsia" w:eastAsiaTheme="minorEastAsia" w:hAnsiTheme="minorEastAsia" w:hint="eastAsia"/>
                <w:color w:val="000000"/>
              </w:rPr>
              <w:t>中国民生银行股份有限公司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570" w:rsidRPr="0056021A" w:rsidRDefault="0056021A" w:rsidP="0056021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6021A">
              <w:rPr>
                <w:rFonts w:asciiTheme="minorEastAsia" w:eastAsiaTheme="minorEastAsia" w:hAnsiTheme="minorEastAsia" w:hint="eastAsia"/>
                <w:color w:val="000000"/>
              </w:rPr>
              <w:t>20民生银行CD182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3570" w:rsidRPr="0056021A" w:rsidRDefault="0056021A" w:rsidP="0056021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6021A">
              <w:rPr>
                <w:rFonts w:asciiTheme="minorEastAsia" w:eastAsiaTheme="minorEastAsia" w:hAnsiTheme="minorEastAsia"/>
                <w:color w:val="000000"/>
              </w:rPr>
              <w:t>116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570" w:rsidRDefault="00B03570" w:rsidP="00B03570">
            <w:pPr>
              <w:widowControl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728" w:rsidRDefault="00455728" w:rsidP="00747E15">
      <w:r>
        <w:separator/>
      </w:r>
    </w:p>
  </w:endnote>
  <w:endnote w:type="continuationSeparator" w:id="0">
    <w:p w:rsidR="00455728" w:rsidRDefault="00455728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728" w:rsidRDefault="00455728" w:rsidP="00747E15">
      <w:r>
        <w:separator/>
      </w:r>
    </w:p>
  </w:footnote>
  <w:footnote w:type="continuationSeparator" w:id="0">
    <w:p w:rsidR="00455728" w:rsidRDefault="00455728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4B"/>
    <w:rsid w:val="00000EA6"/>
    <w:rsid w:val="00004B86"/>
    <w:rsid w:val="000214D6"/>
    <w:rsid w:val="00026C30"/>
    <w:rsid w:val="00034EB1"/>
    <w:rsid w:val="00041CF5"/>
    <w:rsid w:val="0004473E"/>
    <w:rsid w:val="00050B6D"/>
    <w:rsid w:val="00063A00"/>
    <w:rsid w:val="00064987"/>
    <w:rsid w:val="00066841"/>
    <w:rsid w:val="0008454E"/>
    <w:rsid w:val="00087701"/>
    <w:rsid w:val="000A58C0"/>
    <w:rsid w:val="000A7A07"/>
    <w:rsid w:val="000B2257"/>
    <w:rsid w:val="000B6D04"/>
    <w:rsid w:val="000C554B"/>
    <w:rsid w:val="000D2F26"/>
    <w:rsid w:val="000F4ED6"/>
    <w:rsid w:val="000F5E7E"/>
    <w:rsid w:val="000F70EF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A3DAA"/>
    <w:rsid w:val="001B0258"/>
    <w:rsid w:val="001B3848"/>
    <w:rsid w:val="001B3BC4"/>
    <w:rsid w:val="001C207C"/>
    <w:rsid w:val="001C51CC"/>
    <w:rsid w:val="001D4D93"/>
    <w:rsid w:val="001D7934"/>
    <w:rsid w:val="001E0ABA"/>
    <w:rsid w:val="001E0BAC"/>
    <w:rsid w:val="001E60BC"/>
    <w:rsid w:val="001E70EA"/>
    <w:rsid w:val="001F3D33"/>
    <w:rsid w:val="001F4173"/>
    <w:rsid w:val="00206C50"/>
    <w:rsid w:val="00212278"/>
    <w:rsid w:val="00213FFE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E75ED"/>
    <w:rsid w:val="002F02E2"/>
    <w:rsid w:val="002F21B2"/>
    <w:rsid w:val="00305DE3"/>
    <w:rsid w:val="00326849"/>
    <w:rsid w:val="00332886"/>
    <w:rsid w:val="00333409"/>
    <w:rsid w:val="003469B0"/>
    <w:rsid w:val="00346C2E"/>
    <w:rsid w:val="00354859"/>
    <w:rsid w:val="003729DF"/>
    <w:rsid w:val="00373677"/>
    <w:rsid w:val="00391998"/>
    <w:rsid w:val="0039500D"/>
    <w:rsid w:val="003B5CC6"/>
    <w:rsid w:val="003C6C1B"/>
    <w:rsid w:val="003D3F6C"/>
    <w:rsid w:val="003E0232"/>
    <w:rsid w:val="003E4D8B"/>
    <w:rsid w:val="00404027"/>
    <w:rsid w:val="004118B6"/>
    <w:rsid w:val="00413C13"/>
    <w:rsid w:val="00417D2B"/>
    <w:rsid w:val="004340C8"/>
    <w:rsid w:val="00437C59"/>
    <w:rsid w:val="00446C31"/>
    <w:rsid w:val="00451B06"/>
    <w:rsid w:val="004540EE"/>
    <w:rsid w:val="00455728"/>
    <w:rsid w:val="00466EA0"/>
    <w:rsid w:val="00467A3A"/>
    <w:rsid w:val="0048507A"/>
    <w:rsid w:val="00491FFA"/>
    <w:rsid w:val="00495958"/>
    <w:rsid w:val="004A21E1"/>
    <w:rsid w:val="004A26A2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6021A"/>
    <w:rsid w:val="00574C73"/>
    <w:rsid w:val="00575AC8"/>
    <w:rsid w:val="00576002"/>
    <w:rsid w:val="00581772"/>
    <w:rsid w:val="00584D88"/>
    <w:rsid w:val="00590429"/>
    <w:rsid w:val="005965D6"/>
    <w:rsid w:val="005A1B38"/>
    <w:rsid w:val="005A5B17"/>
    <w:rsid w:val="005A7E4B"/>
    <w:rsid w:val="005C491D"/>
    <w:rsid w:val="005D075A"/>
    <w:rsid w:val="005E1AF9"/>
    <w:rsid w:val="005E2277"/>
    <w:rsid w:val="005E64AA"/>
    <w:rsid w:val="005F0968"/>
    <w:rsid w:val="005F3EE3"/>
    <w:rsid w:val="00605150"/>
    <w:rsid w:val="00610506"/>
    <w:rsid w:val="006135B1"/>
    <w:rsid w:val="006169B8"/>
    <w:rsid w:val="00630608"/>
    <w:rsid w:val="006317AB"/>
    <w:rsid w:val="00633610"/>
    <w:rsid w:val="006342A8"/>
    <w:rsid w:val="006350AB"/>
    <w:rsid w:val="006365B5"/>
    <w:rsid w:val="00637ADC"/>
    <w:rsid w:val="00657E0A"/>
    <w:rsid w:val="006761CD"/>
    <w:rsid w:val="00683060"/>
    <w:rsid w:val="00690080"/>
    <w:rsid w:val="00691D50"/>
    <w:rsid w:val="00696A6C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172D9"/>
    <w:rsid w:val="00721E88"/>
    <w:rsid w:val="007224EB"/>
    <w:rsid w:val="00725E07"/>
    <w:rsid w:val="00730420"/>
    <w:rsid w:val="00732817"/>
    <w:rsid w:val="007367C1"/>
    <w:rsid w:val="007372CD"/>
    <w:rsid w:val="00740348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30CA"/>
    <w:rsid w:val="007B72B7"/>
    <w:rsid w:val="007B78C9"/>
    <w:rsid w:val="007C3A4B"/>
    <w:rsid w:val="007D1AD0"/>
    <w:rsid w:val="007E674C"/>
    <w:rsid w:val="007F05DC"/>
    <w:rsid w:val="007F4653"/>
    <w:rsid w:val="007F486F"/>
    <w:rsid w:val="00803A6A"/>
    <w:rsid w:val="00806379"/>
    <w:rsid w:val="00806AB0"/>
    <w:rsid w:val="00807C3A"/>
    <w:rsid w:val="00814FC5"/>
    <w:rsid w:val="00821DFE"/>
    <w:rsid w:val="008347E9"/>
    <w:rsid w:val="00842AD9"/>
    <w:rsid w:val="00844195"/>
    <w:rsid w:val="00852D7B"/>
    <w:rsid w:val="00855DF8"/>
    <w:rsid w:val="0088235C"/>
    <w:rsid w:val="00887E97"/>
    <w:rsid w:val="008945EA"/>
    <w:rsid w:val="008A3209"/>
    <w:rsid w:val="008A64AD"/>
    <w:rsid w:val="008A689A"/>
    <w:rsid w:val="008E0006"/>
    <w:rsid w:val="008E54A7"/>
    <w:rsid w:val="008E7AFD"/>
    <w:rsid w:val="008F7084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A24AC"/>
    <w:rsid w:val="009C482A"/>
    <w:rsid w:val="009C6347"/>
    <w:rsid w:val="009C7FE1"/>
    <w:rsid w:val="009D1164"/>
    <w:rsid w:val="009E28EF"/>
    <w:rsid w:val="009F16C9"/>
    <w:rsid w:val="009F2326"/>
    <w:rsid w:val="00A00212"/>
    <w:rsid w:val="00A032E0"/>
    <w:rsid w:val="00A05A71"/>
    <w:rsid w:val="00A07C26"/>
    <w:rsid w:val="00A20C0F"/>
    <w:rsid w:val="00A21BE5"/>
    <w:rsid w:val="00A22C1A"/>
    <w:rsid w:val="00A25D53"/>
    <w:rsid w:val="00A450C1"/>
    <w:rsid w:val="00A4578C"/>
    <w:rsid w:val="00A66F45"/>
    <w:rsid w:val="00A722CE"/>
    <w:rsid w:val="00A735E4"/>
    <w:rsid w:val="00AB53D1"/>
    <w:rsid w:val="00AC0790"/>
    <w:rsid w:val="00AC12D7"/>
    <w:rsid w:val="00AC4359"/>
    <w:rsid w:val="00AC7CDE"/>
    <w:rsid w:val="00AD558F"/>
    <w:rsid w:val="00AD5E04"/>
    <w:rsid w:val="00AE2DA2"/>
    <w:rsid w:val="00B020F5"/>
    <w:rsid w:val="00B03570"/>
    <w:rsid w:val="00B15284"/>
    <w:rsid w:val="00B33523"/>
    <w:rsid w:val="00B4205F"/>
    <w:rsid w:val="00B42469"/>
    <w:rsid w:val="00B44FB5"/>
    <w:rsid w:val="00B466B4"/>
    <w:rsid w:val="00B71F10"/>
    <w:rsid w:val="00B93E97"/>
    <w:rsid w:val="00BA1DB8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407D4"/>
    <w:rsid w:val="00C50E69"/>
    <w:rsid w:val="00C536AE"/>
    <w:rsid w:val="00C56170"/>
    <w:rsid w:val="00C561DF"/>
    <w:rsid w:val="00C61B7B"/>
    <w:rsid w:val="00C6235D"/>
    <w:rsid w:val="00C720CE"/>
    <w:rsid w:val="00C73436"/>
    <w:rsid w:val="00C84550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CE09F6"/>
    <w:rsid w:val="00D07160"/>
    <w:rsid w:val="00D11F5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466D"/>
    <w:rsid w:val="00D570FB"/>
    <w:rsid w:val="00D57BDC"/>
    <w:rsid w:val="00D62D31"/>
    <w:rsid w:val="00D63459"/>
    <w:rsid w:val="00D720D5"/>
    <w:rsid w:val="00DA5D3B"/>
    <w:rsid w:val="00DB4B6B"/>
    <w:rsid w:val="00DC041F"/>
    <w:rsid w:val="00DC0BC9"/>
    <w:rsid w:val="00DD26B0"/>
    <w:rsid w:val="00DE7BE6"/>
    <w:rsid w:val="00DE7F19"/>
    <w:rsid w:val="00DF32AC"/>
    <w:rsid w:val="00E17E29"/>
    <w:rsid w:val="00E24F4A"/>
    <w:rsid w:val="00E27018"/>
    <w:rsid w:val="00E31B0A"/>
    <w:rsid w:val="00E40EB7"/>
    <w:rsid w:val="00E454B5"/>
    <w:rsid w:val="00E667A4"/>
    <w:rsid w:val="00E76F46"/>
    <w:rsid w:val="00E77447"/>
    <w:rsid w:val="00E77976"/>
    <w:rsid w:val="00EA1F92"/>
    <w:rsid w:val="00EA7A9F"/>
    <w:rsid w:val="00EB262D"/>
    <w:rsid w:val="00EB5733"/>
    <w:rsid w:val="00EC16E4"/>
    <w:rsid w:val="00EC33D8"/>
    <w:rsid w:val="00ED1412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259C9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842A8"/>
    <w:rsid w:val="00F91F77"/>
    <w:rsid w:val="00F92E2B"/>
    <w:rsid w:val="00FA0B51"/>
    <w:rsid w:val="00FB2BDB"/>
    <w:rsid w:val="00FB4CFE"/>
    <w:rsid w:val="00FB537F"/>
    <w:rsid w:val="00FB5E90"/>
    <w:rsid w:val="00FB7F1F"/>
    <w:rsid w:val="00FD1801"/>
    <w:rsid w:val="00FD7D2F"/>
    <w:rsid w:val="00FF1CCD"/>
    <w:rsid w:val="00FF597E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Windows User</cp:lastModifiedBy>
  <cp:revision>6</cp:revision>
  <cp:lastPrinted>2020-12-30T10:28:00Z</cp:lastPrinted>
  <dcterms:created xsi:type="dcterms:W3CDTF">2021-02-03T10:20:00Z</dcterms:created>
  <dcterms:modified xsi:type="dcterms:W3CDTF">2021-03-02T02:33:00Z</dcterms:modified>
</cp:coreProperties>
</file>