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DF" w:rsidRPr="000C61DF" w:rsidRDefault="000C61DF" w:rsidP="000C61DF">
      <w:pPr>
        <w:autoSpaceDE w:val="0"/>
        <w:autoSpaceDN w:val="0"/>
        <w:adjustRightInd w:val="0"/>
        <w:ind w:firstLineChars="200" w:firstLine="880"/>
        <w:jc w:val="center"/>
        <w:rPr>
          <w:rFonts w:ascii="彩虹小标宋" w:eastAsia="彩虹小标宋" w:cs="宋体"/>
          <w:color w:val="000000"/>
          <w:kern w:val="0"/>
          <w:sz w:val="44"/>
          <w:szCs w:val="32"/>
        </w:rPr>
      </w:pPr>
      <w:r w:rsidRPr="000C61DF">
        <w:rPr>
          <w:rFonts w:ascii="彩虹小标宋" w:eastAsia="彩虹小标宋" w:cs="宋体" w:hint="eastAsia"/>
          <w:color w:val="000000"/>
          <w:kern w:val="0"/>
          <w:sz w:val="44"/>
          <w:szCs w:val="32"/>
        </w:rPr>
        <w:t>国内首家银行理财子公司开业 建行服务实体再添动能</w:t>
      </w:r>
    </w:p>
    <w:p w:rsidR="000C61DF" w:rsidRPr="000C61DF" w:rsidRDefault="004A5428" w:rsidP="000C61DF">
      <w:pPr>
        <w:autoSpaceDE w:val="0"/>
        <w:autoSpaceDN w:val="0"/>
        <w:adjustRightInd w:val="0"/>
        <w:ind w:firstLineChars="200" w:firstLine="640"/>
        <w:jc w:val="right"/>
        <w:rPr>
          <w:rFonts w:ascii="宋体" w:eastAsia="宋体" w:cs="宋体"/>
          <w:color w:val="000000"/>
          <w:kern w:val="0"/>
          <w:sz w:val="32"/>
          <w:szCs w:val="32"/>
        </w:rPr>
      </w:pPr>
      <w:r>
        <w:rPr>
          <w:rFonts w:ascii="宋体" w:eastAsia="宋体" w:cs="宋体" w:hint="eastAsia"/>
          <w:color w:val="000000"/>
          <w:kern w:val="0"/>
          <w:sz w:val="32"/>
          <w:szCs w:val="32"/>
        </w:rPr>
        <w:t>——</w:t>
      </w:r>
      <w:r w:rsidR="000C61DF" w:rsidRPr="000C61DF">
        <w:rPr>
          <w:rFonts w:ascii="宋体" w:eastAsia="宋体" w:cs="宋体" w:hint="eastAsia"/>
          <w:color w:val="000000"/>
          <w:kern w:val="0"/>
          <w:sz w:val="32"/>
          <w:szCs w:val="32"/>
        </w:rPr>
        <w:t>建信理财有限责任公司扬帆起航并首发粤港澳大湾区资本市场指数及产品</w:t>
      </w:r>
    </w:p>
    <w:p w:rsidR="000A233B" w:rsidRPr="000C61DF" w:rsidRDefault="000C61DF" w:rsidP="000A233B">
      <w:pPr>
        <w:autoSpaceDE w:val="0"/>
        <w:autoSpaceDN w:val="0"/>
        <w:adjustRightInd w:val="0"/>
        <w:ind w:firstLineChars="200" w:firstLine="640"/>
        <w:jc w:val="left"/>
        <w:rPr>
          <w:rFonts w:ascii="彩虹粗仿宋" w:eastAsia="彩虹粗仿宋" w:cs="宋体"/>
          <w:color w:val="000000"/>
          <w:kern w:val="0"/>
          <w:sz w:val="32"/>
          <w:szCs w:val="32"/>
        </w:rPr>
      </w:pPr>
      <w:r w:rsidRPr="000C61DF">
        <w:rPr>
          <w:rFonts w:ascii="彩虹粗仿宋" w:eastAsia="彩虹粗仿宋" w:cs="宋体" w:hint="eastAsia"/>
          <w:color w:val="000000"/>
          <w:kern w:val="0"/>
          <w:sz w:val="32"/>
          <w:szCs w:val="32"/>
        </w:rPr>
        <w:t>6月3日，中国建设银行全资子</w:t>
      </w:r>
      <w:bookmarkStart w:id="0" w:name="_GoBack"/>
      <w:bookmarkEnd w:id="0"/>
      <w:r w:rsidRPr="000C61DF">
        <w:rPr>
          <w:rFonts w:ascii="彩虹粗仿宋" w:eastAsia="彩虹粗仿宋" w:cs="宋体" w:hint="eastAsia"/>
          <w:color w:val="000000"/>
          <w:kern w:val="0"/>
          <w:sz w:val="32"/>
          <w:szCs w:val="32"/>
        </w:rPr>
        <w:t>公司建信理财有限责任公司（以下简称“建信理财”）在广东省深圳市举行开业仪式暨新产品发布会，这标志着国内首家商业银行理财子公司正式开业运营。广东省委副书记、深圳市委书记王伟中，建设银行党委副书记、行长刘桂平共同为建信理财公司揭牌，深圳市委副书记、市长陈如桂，建设银行党委委员、副行长章更生，深圳市委常委、秘书长高自民，深圳市副市长艾学峰等出席并见证了开业仪式。</w:t>
      </w:r>
      <w:r w:rsidR="000A233B" w:rsidRPr="000C61DF">
        <w:rPr>
          <w:rFonts w:ascii="彩虹粗仿宋" w:eastAsia="彩虹粗仿宋" w:cs="宋体" w:hint="eastAsia"/>
          <w:color w:val="000000"/>
          <w:kern w:val="0"/>
          <w:sz w:val="32"/>
          <w:szCs w:val="32"/>
        </w:rPr>
        <w:t>深圳市政府办公厅、国资委、地方金融监管局，福田区政府，人民银行深圳中心支行，深圳银保监局，深圳证监局，深圳证券交易所，银行业理财登记托管中心等相关部门以及建设银行总行相关部门、部分分行、子公司负责人出席了活动。</w:t>
      </w:r>
    </w:p>
    <w:p w:rsidR="000C61DF" w:rsidRPr="000C61DF" w:rsidRDefault="000C61DF" w:rsidP="000C61DF">
      <w:pPr>
        <w:autoSpaceDE w:val="0"/>
        <w:autoSpaceDN w:val="0"/>
        <w:adjustRightInd w:val="0"/>
        <w:ind w:firstLineChars="200" w:firstLine="640"/>
        <w:jc w:val="left"/>
        <w:rPr>
          <w:rFonts w:ascii="彩虹粗仿宋" w:eastAsia="彩虹粗仿宋" w:cs="宋体"/>
          <w:color w:val="000000"/>
          <w:kern w:val="0"/>
          <w:sz w:val="32"/>
          <w:szCs w:val="32"/>
        </w:rPr>
      </w:pPr>
      <w:r w:rsidRPr="000C61DF">
        <w:rPr>
          <w:rFonts w:ascii="彩虹粗仿宋" w:eastAsia="彩虹粗仿宋" w:cs="宋体" w:hint="eastAsia"/>
          <w:color w:val="000000"/>
          <w:kern w:val="0"/>
          <w:sz w:val="32"/>
          <w:szCs w:val="32"/>
        </w:rPr>
        <w:t>刘桂平在致辞中表示，设立理财子公司，是建设银行深入学习贯彻习近平新时代中国特色社会主义思想，深化金融供给侧结构性改革和新一轮金融改革开放，提升“三大能力”的重要举措。希望建信理财公司始终以习近平总书记要求的加强“三个能力”建设为根本遵循，以服务国家、服务人民、服务母行发展战略为宗旨，不忘初心、不改本色，坚守为人</w:t>
      </w:r>
      <w:r w:rsidRPr="000C61DF">
        <w:rPr>
          <w:rFonts w:ascii="彩虹粗仿宋" w:eastAsia="彩虹粗仿宋" w:cs="宋体" w:hint="eastAsia"/>
          <w:color w:val="000000"/>
          <w:kern w:val="0"/>
          <w:sz w:val="32"/>
          <w:szCs w:val="32"/>
        </w:rPr>
        <w:lastRenderedPageBreak/>
        <w:t>民理财、为实体经济服务、为市场健康发展贡献力量的初衷，为中国的改革开放和粤港澳大湾区建设做出更多创造性、引领性的工作。</w:t>
      </w:r>
    </w:p>
    <w:p w:rsidR="00980CC7" w:rsidRDefault="00980CC7" w:rsidP="000C61DF">
      <w:pPr>
        <w:autoSpaceDE w:val="0"/>
        <w:autoSpaceDN w:val="0"/>
        <w:adjustRightInd w:val="0"/>
        <w:ind w:firstLineChars="200" w:firstLine="640"/>
        <w:jc w:val="left"/>
        <w:rPr>
          <w:rFonts w:ascii="彩虹粗仿宋" w:eastAsia="彩虹粗仿宋" w:cs="宋体" w:hint="eastAsia"/>
          <w:color w:val="000000"/>
          <w:kern w:val="0"/>
          <w:sz w:val="32"/>
          <w:szCs w:val="32"/>
        </w:rPr>
      </w:pPr>
      <w:r w:rsidRPr="00980CC7">
        <w:rPr>
          <w:rFonts w:ascii="彩虹粗仿宋" w:eastAsia="彩虹粗仿宋" w:cs="宋体" w:hint="eastAsia"/>
          <w:color w:val="000000"/>
          <w:kern w:val="0"/>
          <w:sz w:val="32"/>
          <w:szCs w:val="32"/>
        </w:rPr>
        <w:t>陈如桂在致辞中表示，建设银行在深圳成立全国首家商业银行理财子公司，不仅对深圳创新金融产品、优化金融服务、提升金融发展能级具有重要的意义，同时也将对促进金融与实体经济更紧密结合，更好满足粤港澳大湾区乃至全国的资金融通、投资理财、资产管理等需求发挥积极的引领和带动作用。深圳将支持建行开展更多的金融产品和服务创新，进一步加强双方在普惠金融、科技金融、财富管理、金融风险防范等领域的合作，共同为推进粤港澳大湾区金融开放创新</w:t>
      </w:r>
      <w:proofErr w:type="gramStart"/>
      <w:r w:rsidRPr="00980CC7">
        <w:rPr>
          <w:rFonts w:ascii="彩虹粗仿宋" w:eastAsia="彩虹粗仿宋" w:cs="宋体" w:hint="eastAsia"/>
          <w:color w:val="000000"/>
          <w:kern w:val="0"/>
          <w:sz w:val="32"/>
          <w:szCs w:val="32"/>
        </w:rPr>
        <w:t>作出</w:t>
      </w:r>
      <w:proofErr w:type="gramEnd"/>
      <w:r w:rsidRPr="00980CC7">
        <w:rPr>
          <w:rFonts w:ascii="彩虹粗仿宋" w:eastAsia="彩虹粗仿宋" w:cs="宋体" w:hint="eastAsia"/>
          <w:color w:val="000000"/>
          <w:kern w:val="0"/>
          <w:sz w:val="32"/>
          <w:szCs w:val="32"/>
        </w:rPr>
        <w:t>积极贡献。</w:t>
      </w:r>
    </w:p>
    <w:p w:rsidR="00980CC7" w:rsidRPr="000C61DF" w:rsidRDefault="00980CC7" w:rsidP="00980CC7">
      <w:pPr>
        <w:autoSpaceDE w:val="0"/>
        <w:autoSpaceDN w:val="0"/>
        <w:adjustRightInd w:val="0"/>
        <w:ind w:firstLineChars="200" w:firstLine="640"/>
        <w:jc w:val="left"/>
        <w:rPr>
          <w:rFonts w:ascii="彩虹粗仿宋" w:eastAsia="彩虹粗仿宋" w:cs="宋体"/>
          <w:color w:val="000000"/>
          <w:kern w:val="0"/>
          <w:sz w:val="32"/>
          <w:szCs w:val="32"/>
        </w:rPr>
      </w:pPr>
      <w:r w:rsidRPr="00980CC7">
        <w:rPr>
          <w:rFonts w:ascii="彩虹粗仿宋" w:eastAsia="彩虹粗仿宋" w:cs="宋体" w:hint="eastAsia"/>
          <w:color w:val="000000"/>
          <w:kern w:val="0"/>
          <w:sz w:val="32"/>
          <w:szCs w:val="32"/>
        </w:rPr>
        <w:t>据悉，建信理财注册资本为人民币150亿元，注册地为广东省深圳市，刘兴华任董事长，谢</w:t>
      </w:r>
      <w:proofErr w:type="gramStart"/>
      <w:r w:rsidRPr="00980CC7">
        <w:rPr>
          <w:rFonts w:ascii="彩虹粗仿宋" w:eastAsia="彩虹粗仿宋" w:cs="宋体" w:hint="eastAsia"/>
          <w:color w:val="000000"/>
          <w:kern w:val="0"/>
          <w:sz w:val="32"/>
          <w:szCs w:val="32"/>
        </w:rPr>
        <w:t>国旺任</w:t>
      </w:r>
      <w:proofErr w:type="gramEnd"/>
      <w:r w:rsidRPr="00980CC7">
        <w:rPr>
          <w:rFonts w:ascii="彩虹粗仿宋" w:eastAsia="彩虹粗仿宋" w:cs="宋体" w:hint="eastAsia"/>
          <w:color w:val="000000"/>
          <w:kern w:val="0"/>
          <w:sz w:val="32"/>
          <w:szCs w:val="32"/>
        </w:rPr>
        <w:t>总裁。在筹建过程中，建设银行率先向银保监会递交筹建申请，首批获批筹建。于5月20日获得银保监会开业批复；23日，首批取得金融许可证；24日，首家完成工商登记并取得营业执照；5月27日，建设银行发布公告宣布建信理财正式设立。</w:t>
      </w:r>
    </w:p>
    <w:p w:rsidR="000C61DF" w:rsidRPr="000C61DF" w:rsidRDefault="000C61DF" w:rsidP="000C61DF">
      <w:pPr>
        <w:autoSpaceDE w:val="0"/>
        <w:autoSpaceDN w:val="0"/>
        <w:adjustRightInd w:val="0"/>
        <w:ind w:firstLineChars="200" w:firstLine="640"/>
        <w:jc w:val="left"/>
        <w:rPr>
          <w:rFonts w:ascii="彩虹粗仿宋" w:eastAsia="彩虹粗仿宋" w:cs="宋体"/>
          <w:color w:val="000000"/>
          <w:kern w:val="0"/>
          <w:sz w:val="32"/>
          <w:szCs w:val="32"/>
        </w:rPr>
      </w:pPr>
      <w:r w:rsidRPr="000C61DF">
        <w:rPr>
          <w:rFonts w:ascii="彩虹粗仿宋" w:eastAsia="彩虹粗仿宋" w:cs="宋体" w:hint="eastAsia"/>
          <w:color w:val="000000"/>
          <w:kern w:val="0"/>
          <w:sz w:val="32"/>
          <w:szCs w:val="32"/>
        </w:rPr>
        <w:t>作为行业第一家注册于粤港澳大湾区的商业银行理财子公司，建信理财致力于服务支持粤港澳大湾区建设发展。开业仪式上，建信理财还</w:t>
      </w:r>
      <w:r w:rsidR="004A5428">
        <w:rPr>
          <w:rFonts w:ascii="彩虹粗仿宋" w:eastAsia="彩虹粗仿宋" w:cs="宋体" w:hint="eastAsia"/>
          <w:color w:val="000000"/>
          <w:kern w:val="0"/>
          <w:sz w:val="32"/>
          <w:szCs w:val="32"/>
        </w:rPr>
        <w:t>对外</w:t>
      </w:r>
      <w:r w:rsidRPr="000C61DF">
        <w:rPr>
          <w:rFonts w:ascii="彩虹粗仿宋" w:eastAsia="彩虹粗仿宋" w:cs="宋体" w:hint="eastAsia"/>
          <w:color w:val="000000"/>
          <w:kern w:val="0"/>
          <w:sz w:val="32"/>
          <w:szCs w:val="32"/>
        </w:rPr>
        <w:t>发布了建信理财粤港澳大湾区资本市场指数，该指数紧紧围绕《粤港澳大湾区发展规划纲</w:t>
      </w:r>
      <w:r w:rsidRPr="000C61DF">
        <w:rPr>
          <w:rFonts w:ascii="彩虹粗仿宋" w:eastAsia="彩虹粗仿宋" w:cs="宋体" w:hint="eastAsia"/>
          <w:color w:val="000000"/>
          <w:kern w:val="0"/>
          <w:sz w:val="32"/>
          <w:szCs w:val="32"/>
        </w:rPr>
        <w:lastRenderedPageBreak/>
        <w:t>要》，采用“1+5”体系框架，以“粤港澳大湾区高质量发展指数”为主线，贯穿粤港澳大湾</w:t>
      </w:r>
      <w:proofErr w:type="gramStart"/>
      <w:r w:rsidRPr="000C61DF">
        <w:rPr>
          <w:rFonts w:ascii="彩虹粗仿宋" w:eastAsia="彩虹粗仿宋" w:cs="宋体" w:hint="eastAsia"/>
          <w:color w:val="000000"/>
          <w:kern w:val="0"/>
          <w:sz w:val="32"/>
          <w:szCs w:val="32"/>
        </w:rPr>
        <w:t>区价值蓝</w:t>
      </w:r>
      <w:proofErr w:type="gramEnd"/>
      <w:r w:rsidRPr="000C61DF">
        <w:rPr>
          <w:rFonts w:ascii="彩虹粗仿宋" w:eastAsia="彩虹粗仿宋" w:cs="宋体" w:hint="eastAsia"/>
          <w:color w:val="000000"/>
          <w:kern w:val="0"/>
          <w:sz w:val="32"/>
          <w:szCs w:val="32"/>
        </w:rPr>
        <w:t>筹、红利低波、科技创新、先进制造、消费升级5条子指数线，可满足不同风险偏好客户的需求。</w:t>
      </w:r>
    </w:p>
    <w:p w:rsidR="000C61DF" w:rsidRPr="000C61DF" w:rsidRDefault="000C61DF" w:rsidP="000C61DF">
      <w:pPr>
        <w:autoSpaceDE w:val="0"/>
        <w:autoSpaceDN w:val="0"/>
        <w:adjustRightInd w:val="0"/>
        <w:ind w:firstLineChars="200" w:firstLine="640"/>
        <w:jc w:val="left"/>
        <w:rPr>
          <w:rFonts w:ascii="彩虹粗仿宋" w:eastAsia="彩虹粗仿宋" w:cs="宋体"/>
          <w:color w:val="000000"/>
          <w:kern w:val="0"/>
          <w:sz w:val="32"/>
          <w:szCs w:val="32"/>
        </w:rPr>
      </w:pPr>
      <w:r w:rsidRPr="000C61DF">
        <w:rPr>
          <w:rFonts w:ascii="彩虹粗仿宋" w:eastAsia="彩虹粗仿宋" w:cs="宋体" w:hint="eastAsia"/>
          <w:color w:val="000000"/>
          <w:kern w:val="0"/>
          <w:sz w:val="32"/>
          <w:szCs w:val="32"/>
        </w:rPr>
        <w:t>在此基础上，建信理财还将发行“乾元”建信理财粤港澳大湾</w:t>
      </w:r>
      <w:proofErr w:type="gramStart"/>
      <w:r w:rsidRPr="000C61DF">
        <w:rPr>
          <w:rFonts w:ascii="彩虹粗仿宋" w:eastAsia="彩虹粗仿宋" w:cs="宋体" w:hint="eastAsia"/>
          <w:color w:val="000000"/>
          <w:kern w:val="0"/>
          <w:sz w:val="32"/>
          <w:szCs w:val="32"/>
        </w:rPr>
        <w:t>区指数</w:t>
      </w:r>
      <w:proofErr w:type="gramEnd"/>
      <w:r w:rsidRPr="000C61DF">
        <w:rPr>
          <w:rFonts w:ascii="彩虹粗仿宋" w:eastAsia="彩虹粗仿宋" w:cs="宋体" w:hint="eastAsia"/>
          <w:color w:val="000000"/>
          <w:kern w:val="0"/>
          <w:sz w:val="32"/>
          <w:szCs w:val="32"/>
        </w:rPr>
        <w:t>灵活配置、“乾元-</w:t>
      </w:r>
      <w:proofErr w:type="gramStart"/>
      <w:r w:rsidRPr="000C61DF">
        <w:rPr>
          <w:rFonts w:ascii="彩虹粗仿宋" w:eastAsia="彩虹粗仿宋" w:cs="宋体" w:hint="eastAsia"/>
          <w:color w:val="000000"/>
          <w:kern w:val="0"/>
          <w:sz w:val="32"/>
          <w:szCs w:val="32"/>
        </w:rPr>
        <w:t>睿鑫</w:t>
      </w:r>
      <w:proofErr w:type="gramEnd"/>
      <w:r w:rsidRPr="000C61DF">
        <w:rPr>
          <w:rFonts w:ascii="彩虹粗仿宋" w:eastAsia="彩虹粗仿宋" w:cs="宋体" w:hint="eastAsia"/>
          <w:color w:val="000000"/>
          <w:kern w:val="0"/>
          <w:sz w:val="32"/>
          <w:szCs w:val="32"/>
        </w:rPr>
        <w:t>”科技创新类、“乾元-安鑫”固定收益类、“乾元-嘉</w:t>
      </w:r>
      <w:proofErr w:type="gramStart"/>
      <w:r w:rsidRPr="000C61DF">
        <w:rPr>
          <w:rFonts w:ascii="彩虹粗仿宋" w:eastAsia="彩虹粗仿宋" w:cs="宋体" w:hint="eastAsia"/>
          <w:color w:val="000000"/>
          <w:kern w:val="0"/>
          <w:sz w:val="32"/>
          <w:szCs w:val="32"/>
        </w:rPr>
        <w:t>鑫</w:t>
      </w:r>
      <w:proofErr w:type="gramEnd"/>
      <w:r w:rsidRPr="000C61DF">
        <w:rPr>
          <w:rFonts w:ascii="彩虹粗仿宋" w:eastAsia="彩虹粗仿宋" w:cs="宋体" w:hint="eastAsia"/>
          <w:color w:val="000000"/>
          <w:kern w:val="0"/>
          <w:sz w:val="32"/>
          <w:szCs w:val="32"/>
        </w:rPr>
        <w:t>”</w:t>
      </w:r>
      <w:proofErr w:type="gramStart"/>
      <w:r w:rsidRPr="000C61DF">
        <w:rPr>
          <w:rFonts w:ascii="彩虹粗仿宋" w:eastAsia="彩虹粗仿宋" w:cs="宋体" w:hint="eastAsia"/>
          <w:color w:val="000000"/>
          <w:kern w:val="0"/>
          <w:sz w:val="32"/>
          <w:szCs w:val="32"/>
        </w:rPr>
        <w:t>固收增强类</w:t>
      </w:r>
      <w:proofErr w:type="gramEnd"/>
      <w:r w:rsidRPr="000C61DF">
        <w:rPr>
          <w:rFonts w:ascii="彩虹粗仿宋" w:eastAsia="彩虹粗仿宋" w:cs="宋体" w:hint="eastAsia"/>
          <w:color w:val="000000"/>
          <w:kern w:val="0"/>
          <w:sz w:val="32"/>
          <w:szCs w:val="32"/>
        </w:rPr>
        <w:t>等多款覆盖权益、固定收益市场的系列理财产品，精准对接粤港澳大湾区发展规划。</w:t>
      </w:r>
    </w:p>
    <w:p w:rsidR="000C61DF" w:rsidRPr="000C61DF" w:rsidRDefault="000C61DF" w:rsidP="000C61DF">
      <w:pPr>
        <w:autoSpaceDE w:val="0"/>
        <w:autoSpaceDN w:val="0"/>
        <w:adjustRightInd w:val="0"/>
        <w:ind w:firstLineChars="200" w:firstLine="640"/>
        <w:jc w:val="left"/>
        <w:rPr>
          <w:rFonts w:ascii="彩虹粗仿宋" w:eastAsia="彩虹粗仿宋" w:cs="宋体"/>
          <w:color w:val="000000"/>
          <w:kern w:val="0"/>
          <w:sz w:val="32"/>
          <w:szCs w:val="32"/>
        </w:rPr>
      </w:pPr>
      <w:r w:rsidRPr="000C61DF">
        <w:rPr>
          <w:rFonts w:ascii="彩虹粗仿宋" w:eastAsia="彩虹粗仿宋" w:cs="宋体" w:hint="eastAsia"/>
          <w:color w:val="000000"/>
          <w:kern w:val="0"/>
          <w:sz w:val="32"/>
          <w:szCs w:val="32"/>
        </w:rPr>
        <w:t>建信理财负责人表示，公司开业后将进一步提升</w:t>
      </w:r>
      <w:proofErr w:type="gramStart"/>
      <w:r w:rsidRPr="000C61DF">
        <w:rPr>
          <w:rFonts w:ascii="彩虹粗仿宋" w:eastAsia="彩虹粗仿宋" w:cs="宋体" w:hint="eastAsia"/>
          <w:color w:val="000000"/>
          <w:kern w:val="0"/>
          <w:sz w:val="32"/>
          <w:szCs w:val="32"/>
        </w:rPr>
        <w:t>理财资管业务</w:t>
      </w:r>
      <w:proofErr w:type="gramEnd"/>
      <w:r w:rsidRPr="000C61DF">
        <w:rPr>
          <w:rFonts w:ascii="彩虹粗仿宋" w:eastAsia="彩虹粗仿宋" w:cs="宋体" w:hint="eastAsia"/>
          <w:color w:val="000000"/>
          <w:kern w:val="0"/>
          <w:sz w:val="32"/>
          <w:szCs w:val="32"/>
        </w:rPr>
        <w:t>的主动管理能力和专业化程度，坚持稳健经营、创新发展理念，</w:t>
      </w:r>
      <w:proofErr w:type="gramStart"/>
      <w:r w:rsidRPr="000C61DF">
        <w:rPr>
          <w:rFonts w:ascii="彩虹粗仿宋" w:eastAsia="彩虹粗仿宋" w:cs="宋体" w:hint="eastAsia"/>
          <w:color w:val="000000"/>
          <w:kern w:val="0"/>
          <w:sz w:val="32"/>
          <w:szCs w:val="32"/>
        </w:rPr>
        <w:t>践行</w:t>
      </w:r>
      <w:proofErr w:type="gramEnd"/>
      <w:r w:rsidRPr="000C61DF">
        <w:rPr>
          <w:rFonts w:ascii="彩虹粗仿宋" w:eastAsia="彩虹粗仿宋" w:cs="宋体" w:hint="eastAsia"/>
          <w:color w:val="000000"/>
          <w:kern w:val="0"/>
          <w:sz w:val="32"/>
          <w:szCs w:val="32"/>
        </w:rPr>
        <w:t>“理千万家财，不辜负一人；管亿万元钱，不多取一毫”的社会责任，为服务实体经济探索更佳路径，为资本市场稳定展现更多担当，为提升</w:t>
      </w:r>
      <w:proofErr w:type="gramStart"/>
      <w:r w:rsidRPr="000C61DF">
        <w:rPr>
          <w:rFonts w:ascii="彩虹粗仿宋" w:eastAsia="彩虹粗仿宋" w:cs="宋体" w:hint="eastAsia"/>
          <w:color w:val="000000"/>
          <w:kern w:val="0"/>
          <w:sz w:val="32"/>
          <w:szCs w:val="32"/>
        </w:rPr>
        <w:t>中国资管行业</w:t>
      </w:r>
      <w:proofErr w:type="gramEnd"/>
      <w:r w:rsidRPr="000C61DF">
        <w:rPr>
          <w:rFonts w:ascii="彩虹粗仿宋" w:eastAsia="彩虹粗仿宋" w:cs="宋体" w:hint="eastAsia"/>
          <w:color w:val="000000"/>
          <w:kern w:val="0"/>
          <w:sz w:val="32"/>
          <w:szCs w:val="32"/>
        </w:rPr>
        <w:t>整体竞争力做出应有贡献。</w:t>
      </w:r>
    </w:p>
    <w:p w:rsidR="004D6469" w:rsidRDefault="000C61DF" w:rsidP="000C61DF">
      <w:pPr>
        <w:ind w:firstLineChars="200" w:firstLine="640"/>
        <w:rPr>
          <w:rFonts w:ascii="彩虹粗仿宋" w:eastAsia="彩虹粗仿宋" w:cs="宋体"/>
          <w:color w:val="000000"/>
          <w:kern w:val="0"/>
          <w:sz w:val="32"/>
          <w:szCs w:val="32"/>
        </w:rPr>
      </w:pPr>
      <w:r w:rsidRPr="000C61DF">
        <w:rPr>
          <w:rFonts w:ascii="彩虹粗仿宋" w:eastAsia="彩虹粗仿宋" w:cs="宋体" w:hint="eastAsia"/>
          <w:color w:val="000000"/>
          <w:kern w:val="0"/>
          <w:sz w:val="32"/>
          <w:szCs w:val="32"/>
        </w:rPr>
        <w:t>目前，建设银行已在基金、租赁、信托、保险、期货、养老金、投行等多个行业拥有子公司。</w:t>
      </w:r>
    </w:p>
    <w:p w:rsidR="004A5428" w:rsidRPr="004A5428" w:rsidRDefault="004A5428" w:rsidP="000C61DF">
      <w:pPr>
        <w:ind w:firstLineChars="200" w:firstLine="640"/>
        <w:rPr>
          <w:rFonts w:ascii="彩虹粗仿宋" w:eastAsia="彩虹粗仿宋"/>
          <w:sz w:val="32"/>
          <w:szCs w:val="32"/>
        </w:rPr>
      </w:pPr>
    </w:p>
    <w:sectPr w:rsidR="004A5428" w:rsidRPr="004A54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F0" w:rsidRDefault="00CC41F0" w:rsidP="00CC41F0">
      <w:r>
        <w:separator/>
      </w:r>
    </w:p>
  </w:endnote>
  <w:endnote w:type="continuationSeparator" w:id="0">
    <w:p w:rsidR="00CC41F0" w:rsidRDefault="00CC41F0" w:rsidP="00CC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F0" w:rsidRDefault="00CC41F0" w:rsidP="00CC41F0">
      <w:r>
        <w:separator/>
      </w:r>
    </w:p>
  </w:footnote>
  <w:footnote w:type="continuationSeparator" w:id="0">
    <w:p w:rsidR="00CC41F0" w:rsidRDefault="00CC41F0" w:rsidP="00CC4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DF"/>
    <w:rsid w:val="00012BFB"/>
    <w:rsid w:val="00017707"/>
    <w:rsid w:val="000A233B"/>
    <w:rsid w:val="000C5892"/>
    <w:rsid w:val="000C61DF"/>
    <w:rsid w:val="001C4981"/>
    <w:rsid w:val="0029661E"/>
    <w:rsid w:val="00334202"/>
    <w:rsid w:val="003F1876"/>
    <w:rsid w:val="004110E7"/>
    <w:rsid w:val="004A5428"/>
    <w:rsid w:val="004D6469"/>
    <w:rsid w:val="005815AA"/>
    <w:rsid w:val="00680AEB"/>
    <w:rsid w:val="006A4FC3"/>
    <w:rsid w:val="00707AF7"/>
    <w:rsid w:val="0084066A"/>
    <w:rsid w:val="00853CBA"/>
    <w:rsid w:val="00980CC7"/>
    <w:rsid w:val="00A7135F"/>
    <w:rsid w:val="00AF2D8B"/>
    <w:rsid w:val="00B065AD"/>
    <w:rsid w:val="00B45298"/>
    <w:rsid w:val="00BC51F8"/>
    <w:rsid w:val="00CC41F0"/>
    <w:rsid w:val="00DA35DF"/>
    <w:rsid w:val="00F957CE"/>
    <w:rsid w:val="00FB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5428"/>
    <w:rPr>
      <w:sz w:val="18"/>
      <w:szCs w:val="18"/>
    </w:rPr>
  </w:style>
  <w:style w:type="character" w:customStyle="1" w:styleId="Char">
    <w:name w:val="批注框文本 Char"/>
    <w:basedOn w:val="a0"/>
    <w:link w:val="a3"/>
    <w:uiPriority w:val="99"/>
    <w:semiHidden/>
    <w:rsid w:val="004A5428"/>
    <w:rPr>
      <w:sz w:val="18"/>
      <w:szCs w:val="18"/>
    </w:rPr>
  </w:style>
  <w:style w:type="paragraph" w:styleId="a4">
    <w:name w:val="header"/>
    <w:basedOn w:val="a"/>
    <w:link w:val="Char0"/>
    <w:uiPriority w:val="99"/>
    <w:unhideWhenUsed/>
    <w:rsid w:val="00CC41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C41F0"/>
    <w:rPr>
      <w:sz w:val="18"/>
      <w:szCs w:val="18"/>
    </w:rPr>
  </w:style>
  <w:style w:type="paragraph" w:styleId="a5">
    <w:name w:val="footer"/>
    <w:basedOn w:val="a"/>
    <w:link w:val="Char1"/>
    <w:uiPriority w:val="99"/>
    <w:unhideWhenUsed/>
    <w:rsid w:val="00CC41F0"/>
    <w:pPr>
      <w:tabs>
        <w:tab w:val="center" w:pos="4153"/>
        <w:tab w:val="right" w:pos="8306"/>
      </w:tabs>
      <w:snapToGrid w:val="0"/>
      <w:jc w:val="left"/>
    </w:pPr>
    <w:rPr>
      <w:sz w:val="18"/>
      <w:szCs w:val="18"/>
    </w:rPr>
  </w:style>
  <w:style w:type="character" w:customStyle="1" w:styleId="Char1">
    <w:name w:val="页脚 Char"/>
    <w:basedOn w:val="a0"/>
    <w:link w:val="a5"/>
    <w:uiPriority w:val="99"/>
    <w:rsid w:val="00CC41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5428"/>
    <w:rPr>
      <w:sz w:val="18"/>
      <w:szCs w:val="18"/>
    </w:rPr>
  </w:style>
  <w:style w:type="character" w:customStyle="1" w:styleId="Char">
    <w:name w:val="批注框文本 Char"/>
    <w:basedOn w:val="a0"/>
    <w:link w:val="a3"/>
    <w:uiPriority w:val="99"/>
    <w:semiHidden/>
    <w:rsid w:val="004A5428"/>
    <w:rPr>
      <w:sz w:val="18"/>
      <w:szCs w:val="18"/>
    </w:rPr>
  </w:style>
  <w:style w:type="paragraph" w:styleId="a4">
    <w:name w:val="header"/>
    <w:basedOn w:val="a"/>
    <w:link w:val="Char0"/>
    <w:uiPriority w:val="99"/>
    <w:unhideWhenUsed/>
    <w:rsid w:val="00CC41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C41F0"/>
    <w:rPr>
      <w:sz w:val="18"/>
      <w:szCs w:val="18"/>
    </w:rPr>
  </w:style>
  <w:style w:type="paragraph" w:styleId="a5">
    <w:name w:val="footer"/>
    <w:basedOn w:val="a"/>
    <w:link w:val="Char1"/>
    <w:uiPriority w:val="99"/>
    <w:unhideWhenUsed/>
    <w:rsid w:val="00CC41F0"/>
    <w:pPr>
      <w:tabs>
        <w:tab w:val="center" w:pos="4153"/>
        <w:tab w:val="right" w:pos="8306"/>
      </w:tabs>
      <w:snapToGrid w:val="0"/>
      <w:jc w:val="left"/>
    </w:pPr>
    <w:rPr>
      <w:sz w:val="18"/>
      <w:szCs w:val="18"/>
    </w:rPr>
  </w:style>
  <w:style w:type="character" w:customStyle="1" w:styleId="Char1">
    <w:name w:val="页脚 Char"/>
    <w:basedOn w:val="a0"/>
    <w:link w:val="a5"/>
    <w:uiPriority w:val="99"/>
    <w:rsid w:val="00CC41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李海霞 </dc:creator>
  <cp:lastModifiedBy>CCB</cp:lastModifiedBy>
  <cp:revision>4</cp:revision>
  <dcterms:created xsi:type="dcterms:W3CDTF">2019-06-03T02:51:00Z</dcterms:created>
  <dcterms:modified xsi:type="dcterms:W3CDTF">2019-06-03T06:48:00Z</dcterms:modified>
</cp:coreProperties>
</file>