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63F55" w:rsidRDefault="001C2BC6">
      <w:pPr>
        <w:tabs>
          <w:tab w:val="left" w:pos="360"/>
          <w:tab w:val="left" w:pos="6405"/>
        </w:tabs>
        <w:spacing w:after="80" w:line="240" w:lineRule="auto"/>
        <w:jc w:val="center"/>
        <w:rPr>
          <w:rFonts w:ascii="黑体" w:eastAsia="黑体" w:hAnsi="黑体"/>
          <w:sz w:val="36"/>
          <w:szCs w:val="36"/>
        </w:rPr>
      </w:pPr>
      <w:r>
        <w:rPr>
          <w:rFonts w:ascii="黑体" w:eastAsia="黑体" w:hAnsi="黑体" w:hint="eastAsia"/>
          <w:sz w:val="36"/>
          <w:szCs w:val="36"/>
        </w:rPr>
        <w:t>《金融科技创新应用声明书》</w:t>
      </w:r>
    </w:p>
    <w:tbl>
      <w:tblPr>
        <w:tblW w:w="883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0"/>
        <w:gridCol w:w="2100"/>
        <w:gridCol w:w="347"/>
        <w:gridCol w:w="393"/>
        <w:gridCol w:w="1389"/>
        <w:gridCol w:w="3424"/>
      </w:tblGrid>
      <w:tr w:rsidR="00B63F55">
        <w:trPr>
          <w:trHeight w:val="442"/>
          <w:jc w:val="center"/>
        </w:trPr>
        <w:tc>
          <w:tcPr>
            <w:tcW w:w="1180" w:type="dxa"/>
            <w:vMerge w:val="restart"/>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创新应用</w:t>
            </w:r>
          </w:p>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基本信息</w:t>
            </w: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创新应用编号</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color w:val="000000"/>
                <w:szCs w:val="21"/>
              </w:rPr>
            </w:pPr>
            <w:r>
              <w:rPr>
                <w:rFonts w:ascii="仿宋_GB2312" w:eastAsia="仿宋_GB2312" w:hAnsi="仿宋_GB2312" w:cs="仿宋_GB2312" w:hint="eastAsia"/>
                <w:iCs/>
                <w:color w:val="000000"/>
                <w:szCs w:val="21"/>
              </w:rPr>
              <w:t>91440000890327135E-2025-0001</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创新应用名称</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color w:val="000000"/>
                <w:szCs w:val="21"/>
              </w:rPr>
            </w:pPr>
            <w:r>
              <w:rPr>
                <w:rFonts w:ascii="仿宋_GB2312" w:eastAsia="仿宋_GB2312" w:hAnsi="仿宋_GB2312" w:cs="仿宋_GB2312" w:hint="eastAsia"/>
                <w:iCs/>
                <w:color w:val="000000"/>
                <w:szCs w:val="21"/>
              </w:rPr>
              <w:t>基于大模型技术的科创企业信贷分析助手</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创新应用类型</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color w:val="000000"/>
                <w:szCs w:val="21"/>
              </w:rPr>
            </w:pPr>
            <w:r>
              <w:rPr>
                <w:rFonts w:ascii="仿宋_GB2312" w:eastAsia="仿宋_GB2312" w:hAnsi="仿宋_GB2312" w:cs="仿宋_GB2312" w:hint="eastAsia"/>
                <w:iCs/>
                <w:color w:val="000000"/>
                <w:szCs w:val="21"/>
              </w:rPr>
              <w:t>金融服务</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Merge w:val="restart"/>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机构信息</w:t>
            </w:r>
            <w:r>
              <w:rPr>
                <w:rFonts w:ascii="仿宋_GB2312" w:eastAsia="仿宋_GB2312" w:hAnsi="仿宋_GB2312" w:cs="仿宋_GB2312" w:hint="eastAsia"/>
                <w:szCs w:val="21"/>
              </w:rPr>
              <w:t>1</w:t>
            </w:r>
          </w:p>
        </w:tc>
        <w:tc>
          <w:tcPr>
            <w:tcW w:w="2129" w:type="dxa"/>
            <w:gridSpan w:val="3"/>
            <w:vAlign w:val="center"/>
          </w:tcPr>
          <w:p w:rsidR="00B63F55" w:rsidRDefault="001C2BC6">
            <w:pPr>
              <w:spacing w:after="0" w:line="360" w:lineRule="exact"/>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统一社会信用代码</w:t>
            </w:r>
          </w:p>
        </w:tc>
        <w:tc>
          <w:tcPr>
            <w:tcW w:w="3424" w:type="dxa"/>
            <w:vAlign w:val="center"/>
          </w:tcPr>
          <w:p w:rsidR="00B63F55" w:rsidRDefault="001C2BC6">
            <w:pPr>
              <w:spacing w:after="0" w:line="360" w:lineRule="exact"/>
              <w:jc w:val="center"/>
              <w:rPr>
                <w:rFonts w:ascii="仿宋_GB2312" w:eastAsia="仿宋_GB2312" w:hAnsi="仿宋_GB2312" w:cs="仿宋_GB2312"/>
                <w:color w:val="000000"/>
                <w:szCs w:val="21"/>
              </w:rPr>
            </w:pPr>
            <w:r>
              <w:rPr>
                <w:rFonts w:ascii="仿宋_GB2312" w:eastAsia="仿宋_GB2312" w:hAnsi="仿宋_GB2312" w:cs="仿宋_GB2312" w:hint="eastAsia"/>
                <w:iCs/>
                <w:color w:val="000000"/>
                <w:szCs w:val="21"/>
              </w:rPr>
              <w:t>91440000890327135E</w:t>
            </w:r>
          </w:p>
        </w:tc>
      </w:tr>
      <w:tr w:rsidR="00B63F55">
        <w:trPr>
          <w:trHeight w:val="417"/>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29" w:type="dxa"/>
            <w:gridSpan w:val="3"/>
            <w:vAlign w:val="center"/>
          </w:tcPr>
          <w:p w:rsidR="00B63F55" w:rsidRDefault="001C2BC6">
            <w:pPr>
              <w:spacing w:after="0" w:line="360" w:lineRule="exact"/>
              <w:ind w:leftChars="-48" w:left="-108" w:rightChars="-44" w:right="-99"/>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全球法人识别编码</w:t>
            </w:r>
          </w:p>
        </w:tc>
        <w:tc>
          <w:tcPr>
            <w:tcW w:w="3424" w:type="dxa"/>
            <w:vAlign w:val="center"/>
          </w:tcPr>
          <w:p w:rsidR="00B63F55" w:rsidRDefault="00B63F55">
            <w:pPr>
              <w:spacing w:after="0" w:line="360" w:lineRule="exact"/>
              <w:jc w:val="center"/>
              <w:rPr>
                <w:rFonts w:ascii="仿宋_GB2312" w:eastAsia="仿宋_GB2312" w:hAnsi="仿宋_GB2312" w:cs="仿宋_GB2312"/>
                <w:color w:val="000000"/>
                <w:szCs w:val="21"/>
              </w:rPr>
            </w:pPr>
          </w:p>
        </w:tc>
      </w:tr>
      <w:tr w:rsidR="00B63F55">
        <w:trPr>
          <w:trHeight w:val="460"/>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29" w:type="dxa"/>
            <w:gridSpan w:val="3"/>
            <w:vAlign w:val="center"/>
          </w:tcPr>
          <w:p w:rsidR="00B63F55" w:rsidRDefault="001C2BC6">
            <w:pPr>
              <w:spacing w:after="0" w:line="360" w:lineRule="exact"/>
              <w:jc w:val="center"/>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机构名称</w:t>
            </w:r>
          </w:p>
        </w:tc>
        <w:tc>
          <w:tcPr>
            <w:tcW w:w="3424" w:type="dxa"/>
            <w:vAlign w:val="center"/>
          </w:tcPr>
          <w:p w:rsidR="00B63F55" w:rsidRDefault="001C2BC6">
            <w:pPr>
              <w:spacing w:after="0" w:line="360" w:lineRule="exact"/>
              <w:jc w:val="center"/>
              <w:rPr>
                <w:rFonts w:ascii="仿宋_GB2312" w:eastAsia="仿宋_GB2312" w:hAnsi="仿宋_GB2312" w:cs="仿宋_GB2312"/>
                <w:color w:val="000000"/>
                <w:szCs w:val="21"/>
              </w:rPr>
            </w:pPr>
            <w:r>
              <w:rPr>
                <w:rFonts w:ascii="仿宋_GB2312" w:eastAsia="仿宋_GB2312" w:hAnsi="仿宋_GB2312" w:cs="仿宋_GB2312" w:hint="eastAsia"/>
                <w:iCs/>
                <w:color w:val="000000"/>
                <w:szCs w:val="21"/>
              </w:rPr>
              <w:t>中国建设银行股份有限公司广东省分行</w:t>
            </w:r>
          </w:p>
        </w:tc>
      </w:tr>
      <w:tr w:rsidR="00B63F55">
        <w:trPr>
          <w:trHeight w:val="456"/>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29" w:type="dxa"/>
            <w:gridSpan w:val="3"/>
            <w:vAlign w:val="center"/>
          </w:tcPr>
          <w:p w:rsidR="00B63F55" w:rsidRDefault="001C2BC6">
            <w:pPr>
              <w:spacing w:after="0" w:line="360" w:lineRule="exact"/>
              <w:ind w:leftChars="-48" w:left="-108" w:rightChars="-44" w:right="-99"/>
              <w:jc w:val="center"/>
              <w:rPr>
                <w:rFonts w:ascii="仿宋_GB2312" w:eastAsia="仿宋_GB2312" w:hAnsi="仿宋_GB2312" w:cs="仿宋_GB2312"/>
                <w:szCs w:val="21"/>
              </w:rPr>
            </w:pPr>
            <w:r>
              <w:rPr>
                <w:rFonts w:ascii="仿宋_GB2312" w:eastAsia="仿宋_GB2312" w:hAnsi="仿宋_GB2312" w:cs="仿宋_GB2312" w:hint="eastAsia"/>
                <w:szCs w:val="21"/>
              </w:rPr>
              <w:t>持有金融牌照信息</w:t>
            </w:r>
          </w:p>
        </w:tc>
        <w:tc>
          <w:tcPr>
            <w:tcW w:w="3424" w:type="dxa"/>
            <w:vAlign w:val="center"/>
          </w:tcPr>
          <w:p w:rsidR="00B63F55" w:rsidRDefault="001C2BC6">
            <w:pPr>
              <w:spacing w:after="0" w:line="360" w:lineRule="exact"/>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牌照名称：金融许可证</w:t>
            </w:r>
          </w:p>
          <w:p w:rsidR="00B63F55" w:rsidRDefault="001C2BC6">
            <w:pPr>
              <w:spacing w:after="0" w:line="360" w:lineRule="exact"/>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机构编码：</w:t>
            </w:r>
            <w:r>
              <w:rPr>
                <w:rFonts w:ascii="仿宋_GB2312" w:eastAsia="仿宋_GB2312" w:hAnsi="仿宋_GB2312" w:cs="仿宋_GB2312" w:hint="eastAsia"/>
                <w:color w:val="000000"/>
                <w:szCs w:val="21"/>
              </w:rPr>
              <w:t>B0004B244010001</w:t>
            </w:r>
          </w:p>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color w:val="000000"/>
                <w:szCs w:val="21"/>
              </w:rPr>
              <w:t>发证机关：</w:t>
            </w:r>
            <w:r>
              <w:rPr>
                <w:rFonts w:ascii="仿宋_GB2312" w:eastAsia="仿宋_GB2312" w:hAnsi="仿宋_GB2312" w:cs="仿宋_GB2312" w:hint="eastAsia"/>
                <w:szCs w:val="21"/>
              </w:rPr>
              <w:t>中国银行保险监督管理委员会广东监管局</w:t>
            </w:r>
          </w:p>
        </w:tc>
      </w:tr>
      <w:tr w:rsidR="00B63F55">
        <w:trPr>
          <w:trHeight w:val="50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技术应用</w:t>
            </w:r>
          </w:p>
        </w:tc>
        <w:tc>
          <w:tcPr>
            <w:tcW w:w="5553" w:type="dxa"/>
            <w:gridSpan w:val="4"/>
            <w:vAlign w:val="center"/>
          </w:tcPr>
          <w:p w:rsidR="00B63F55" w:rsidRDefault="001C2BC6">
            <w:pPr>
              <w:spacing w:after="0" w:line="360" w:lineRule="exact"/>
              <w:jc w:val="both"/>
              <w:rPr>
                <w:rFonts w:ascii="仿宋_GB2312" w:eastAsia="仿宋_GB2312"/>
                <w:iCs/>
                <w:color w:val="000000"/>
                <w:szCs w:val="21"/>
              </w:rPr>
            </w:pPr>
            <w:r>
              <w:rPr>
                <w:rFonts w:ascii="仿宋_GB2312" w:eastAsia="仿宋_GB2312" w:hint="eastAsia"/>
                <w:iCs/>
                <w:color w:val="000000"/>
                <w:szCs w:val="21"/>
              </w:rPr>
              <w:t>1.</w:t>
            </w:r>
            <w:r>
              <w:rPr>
                <w:rFonts w:ascii="仿宋_GB2312" w:eastAsia="仿宋_GB2312" w:hint="eastAsia"/>
                <w:iCs/>
                <w:color w:val="000000"/>
                <w:szCs w:val="21"/>
              </w:rPr>
              <w:t>通过大语言模型技术实现科创企业财务数据智能解析、行业风险动态评估、专利价值量化分析、技术能力布局和研发技术变化趋势自动</w:t>
            </w:r>
            <w:r>
              <w:rPr>
                <w:rFonts w:ascii="仿宋_GB2312" w:eastAsia="仿宋_GB2312"/>
                <w:iCs/>
                <w:color w:val="000000"/>
                <w:szCs w:val="21"/>
              </w:rPr>
              <w:t>生成</w:t>
            </w:r>
            <w:r>
              <w:rPr>
                <w:rFonts w:ascii="仿宋_GB2312" w:eastAsia="仿宋_GB2312" w:hint="eastAsia"/>
                <w:iCs/>
                <w:color w:val="000000"/>
                <w:szCs w:val="21"/>
              </w:rPr>
              <w:t>等功能，丰富科创企业的评价维度，提升科技金融服务的精准性与时效性。</w:t>
            </w:r>
          </w:p>
          <w:p w:rsidR="00B63F55" w:rsidRDefault="001C2BC6">
            <w:pPr>
              <w:spacing w:after="0" w:line="360" w:lineRule="exact"/>
              <w:jc w:val="both"/>
              <w:rPr>
                <w:rFonts w:ascii="仿宋_GB2312" w:eastAsia="仿宋_GB2312"/>
                <w:iCs/>
                <w:color w:val="000000"/>
                <w:szCs w:val="21"/>
              </w:rPr>
            </w:pPr>
            <w:r>
              <w:rPr>
                <w:rFonts w:ascii="仿宋_GB2312" w:eastAsia="仿宋_GB2312" w:hint="eastAsia"/>
                <w:iCs/>
                <w:color w:val="000000"/>
                <w:szCs w:val="21"/>
              </w:rPr>
              <w:t>2.</w:t>
            </w:r>
            <w:r>
              <w:rPr>
                <w:rFonts w:ascii="仿宋_GB2312" w:eastAsia="仿宋_GB2312" w:hint="eastAsia"/>
                <w:iCs/>
                <w:color w:val="000000"/>
                <w:szCs w:val="21"/>
              </w:rPr>
              <w:t>利用大数据分析，对科创企业财务、工商等</w:t>
            </w:r>
            <w:r>
              <w:rPr>
                <w:rFonts w:ascii="仿宋_GB2312" w:eastAsia="仿宋_GB2312"/>
                <w:iCs/>
                <w:color w:val="000000"/>
                <w:szCs w:val="21"/>
              </w:rPr>
              <w:t>数据进行深度挖掘</w:t>
            </w:r>
            <w:r>
              <w:rPr>
                <w:rFonts w:ascii="仿宋_GB2312" w:eastAsia="仿宋_GB2312" w:hint="eastAsia"/>
                <w:iCs/>
                <w:color w:val="000000"/>
                <w:szCs w:val="21"/>
              </w:rPr>
              <w:t>，</w:t>
            </w:r>
            <w:r>
              <w:rPr>
                <w:rFonts w:ascii="仿宋_GB2312" w:eastAsia="仿宋_GB2312"/>
                <w:iCs/>
                <w:color w:val="000000"/>
                <w:szCs w:val="21"/>
              </w:rPr>
              <w:t>通过构建</w:t>
            </w:r>
            <w:r>
              <w:rPr>
                <w:rFonts w:ascii="仿宋_GB2312" w:eastAsia="仿宋_GB2312" w:hint="eastAsia"/>
                <w:iCs/>
                <w:color w:val="000000"/>
                <w:szCs w:val="21"/>
              </w:rPr>
              <w:t>融资风控</w:t>
            </w:r>
            <w:r>
              <w:rPr>
                <w:rFonts w:ascii="仿宋_GB2312" w:eastAsia="仿宋_GB2312"/>
                <w:iCs/>
                <w:color w:val="000000"/>
                <w:szCs w:val="21"/>
              </w:rPr>
              <w:t>模型</w:t>
            </w:r>
            <w:r>
              <w:rPr>
                <w:rFonts w:ascii="仿宋_GB2312" w:eastAsia="仿宋_GB2312" w:hint="eastAsia"/>
                <w:iCs/>
                <w:color w:val="000000"/>
                <w:szCs w:val="21"/>
              </w:rPr>
              <w:t>，</w:t>
            </w:r>
            <w:r>
              <w:rPr>
                <w:rFonts w:ascii="仿宋_GB2312" w:eastAsia="仿宋_GB2312"/>
                <w:iCs/>
                <w:color w:val="000000"/>
                <w:szCs w:val="21"/>
              </w:rPr>
              <w:t>实现事前尽职调查的智能化</w:t>
            </w:r>
            <w:r>
              <w:rPr>
                <w:rFonts w:ascii="仿宋_GB2312" w:eastAsia="仿宋_GB2312" w:hint="eastAsia"/>
                <w:iCs/>
                <w:color w:val="000000"/>
                <w:szCs w:val="21"/>
              </w:rPr>
              <w:t>，</w:t>
            </w:r>
            <w:r>
              <w:rPr>
                <w:rFonts w:ascii="仿宋_GB2312" w:eastAsia="仿宋_GB2312"/>
                <w:iCs/>
                <w:color w:val="000000"/>
                <w:szCs w:val="21"/>
              </w:rPr>
              <w:t>加强科创企业的</w:t>
            </w:r>
            <w:r>
              <w:rPr>
                <w:rFonts w:ascii="仿宋_GB2312" w:eastAsia="仿宋_GB2312" w:hint="eastAsia"/>
                <w:iCs/>
                <w:color w:val="000000"/>
                <w:szCs w:val="21"/>
              </w:rPr>
              <w:t>授信风险</w:t>
            </w:r>
            <w:r>
              <w:rPr>
                <w:rFonts w:ascii="仿宋_GB2312" w:eastAsia="仿宋_GB2312"/>
                <w:iCs/>
                <w:color w:val="000000"/>
                <w:szCs w:val="21"/>
              </w:rPr>
              <w:t>评估</w:t>
            </w:r>
            <w:r>
              <w:rPr>
                <w:rFonts w:ascii="仿宋_GB2312" w:eastAsia="仿宋_GB2312" w:hint="eastAsia"/>
                <w:iCs/>
                <w:color w:val="000000"/>
                <w:szCs w:val="21"/>
              </w:rPr>
              <w:t>，</w:t>
            </w:r>
            <w:r>
              <w:rPr>
                <w:rFonts w:ascii="仿宋_GB2312" w:eastAsia="仿宋_GB2312"/>
                <w:iCs/>
                <w:color w:val="000000"/>
                <w:szCs w:val="21"/>
              </w:rPr>
              <w:t>降低业务风险</w:t>
            </w:r>
            <w:r>
              <w:rPr>
                <w:rFonts w:ascii="仿宋_GB2312" w:eastAsia="仿宋_GB2312" w:hint="eastAsia"/>
                <w:iCs/>
                <w:color w:val="000000"/>
                <w:szCs w:val="21"/>
              </w:rPr>
              <w:t>。</w:t>
            </w:r>
          </w:p>
        </w:tc>
      </w:tr>
      <w:tr w:rsidR="00B63F55">
        <w:trPr>
          <w:trHeight w:val="497"/>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功能服务</w:t>
            </w:r>
          </w:p>
        </w:tc>
        <w:tc>
          <w:tcPr>
            <w:tcW w:w="5553" w:type="dxa"/>
            <w:gridSpan w:val="4"/>
            <w:vAlign w:val="center"/>
          </w:tcPr>
          <w:p w:rsidR="00B63F55" w:rsidRDefault="001C2BC6">
            <w:pPr>
              <w:spacing w:after="0" w:line="360" w:lineRule="exact"/>
              <w:jc w:val="both"/>
              <w:rPr>
                <w:rFonts w:ascii="仿宋_GB2312" w:eastAsia="仿宋_GB2312"/>
                <w:iCs/>
                <w:color w:val="000000"/>
                <w:szCs w:val="21"/>
              </w:rPr>
            </w:pPr>
            <w:r>
              <w:rPr>
                <w:rFonts w:ascii="仿宋_GB2312" w:eastAsia="仿宋_GB2312" w:hint="eastAsia"/>
                <w:iCs/>
                <w:color w:val="000000"/>
                <w:szCs w:val="21"/>
              </w:rPr>
              <w:t>本项目应用于科技型企业信贷场景，针对科技型企业轻资产、高风险、高成长的特点，建设基于</w:t>
            </w:r>
            <w:r>
              <w:rPr>
                <w:rFonts w:ascii="仿宋_GB2312" w:eastAsia="仿宋_GB2312" w:hint="eastAsia"/>
                <w:iCs/>
                <w:color w:val="000000"/>
                <w:szCs w:val="21"/>
              </w:rPr>
              <w:t>AI</w:t>
            </w:r>
            <w:r>
              <w:rPr>
                <w:rFonts w:ascii="仿宋_GB2312" w:eastAsia="仿宋_GB2312" w:hint="eastAsia"/>
                <w:iCs/>
                <w:color w:val="000000"/>
                <w:szCs w:val="21"/>
              </w:rPr>
              <w:t>大模型的科创企业分析助手，为行内客户经理评估</w:t>
            </w:r>
            <w:r>
              <w:rPr>
                <w:rFonts w:ascii="仿宋_GB2312" w:eastAsia="仿宋_GB2312" w:hAnsi="仿宋_GB2312" w:cs="仿宋_GB2312" w:hint="eastAsia"/>
                <w:color w:val="000000"/>
                <w:szCs w:val="21"/>
              </w:rPr>
              <w:t>企业技术能力布局、研发技术变化趋势等</w:t>
            </w:r>
            <w:r>
              <w:rPr>
                <w:rFonts w:ascii="仿宋_GB2312" w:eastAsia="仿宋_GB2312" w:hint="eastAsia"/>
                <w:iCs/>
                <w:color w:val="000000"/>
                <w:szCs w:val="21"/>
              </w:rPr>
              <w:t>提供辅助，所有大模型生成内容均不直接对客服务，提升员工尽职调查工作效率，优化科技</w:t>
            </w:r>
            <w:r>
              <w:rPr>
                <w:rFonts w:ascii="仿宋_GB2312" w:eastAsia="仿宋_GB2312"/>
                <w:iCs/>
                <w:color w:val="000000"/>
                <w:szCs w:val="21"/>
              </w:rPr>
              <w:t>信贷</w:t>
            </w:r>
            <w:r>
              <w:rPr>
                <w:rFonts w:ascii="仿宋_GB2312" w:eastAsia="仿宋_GB2312" w:hint="eastAsia"/>
                <w:iCs/>
                <w:color w:val="000000"/>
                <w:szCs w:val="21"/>
              </w:rPr>
              <w:t>业务流程。</w:t>
            </w:r>
          </w:p>
          <w:p w:rsidR="00B63F55" w:rsidRDefault="001C2BC6">
            <w:pPr>
              <w:spacing w:after="0" w:line="360" w:lineRule="exact"/>
              <w:jc w:val="both"/>
              <w:rPr>
                <w:rFonts w:ascii="仿宋_GB2312" w:eastAsia="仿宋_GB2312"/>
                <w:iCs/>
                <w:color w:val="000000"/>
                <w:szCs w:val="21"/>
              </w:rPr>
            </w:pPr>
            <w:r>
              <w:rPr>
                <w:rFonts w:ascii="仿宋_GB2312" w:eastAsia="仿宋_GB2312" w:hint="eastAsia"/>
                <w:iCs/>
                <w:color w:val="000000"/>
                <w:szCs w:val="21"/>
              </w:rPr>
              <w:t>本项目由中国建设银行广东省分行研发与运维，使用的</w:t>
            </w:r>
            <w:r>
              <w:rPr>
                <w:rFonts w:ascii="仿宋_GB2312" w:eastAsia="仿宋_GB2312" w:hint="eastAsia"/>
                <w:iCs/>
                <w:color w:val="000000"/>
                <w:szCs w:val="21"/>
              </w:rPr>
              <w:t>AI</w:t>
            </w:r>
            <w:r w:rsidR="00F82C05">
              <w:rPr>
                <w:rFonts w:ascii="仿宋_GB2312" w:eastAsia="仿宋_GB2312" w:hint="eastAsia"/>
                <w:iCs/>
                <w:color w:val="000000"/>
                <w:szCs w:val="21"/>
              </w:rPr>
              <w:t>大模型为开源模型</w:t>
            </w:r>
            <w:bookmarkStart w:id="0" w:name="_GoBack"/>
            <w:bookmarkEnd w:id="0"/>
            <w:r>
              <w:rPr>
                <w:rFonts w:ascii="仿宋_GB2312" w:eastAsia="仿宋_GB2312" w:hint="eastAsia"/>
                <w:iCs/>
                <w:color w:val="000000"/>
                <w:szCs w:val="21"/>
              </w:rPr>
              <w:t>，此外无第三方机构参与。</w:t>
            </w:r>
          </w:p>
        </w:tc>
      </w:tr>
      <w:tr w:rsidR="00B63F55">
        <w:trPr>
          <w:trHeight w:val="497"/>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int="eastAsia"/>
                <w:szCs w:val="21"/>
              </w:rPr>
              <w:t>创新性说明</w:t>
            </w:r>
          </w:p>
        </w:tc>
        <w:tc>
          <w:tcPr>
            <w:tcW w:w="5553" w:type="dxa"/>
            <w:gridSpan w:val="4"/>
            <w:vAlign w:val="center"/>
          </w:tcPr>
          <w:p w:rsidR="00B63F55" w:rsidRDefault="001C2BC6">
            <w:pPr>
              <w:spacing w:after="0" w:line="360" w:lineRule="exact"/>
              <w:jc w:val="both"/>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1.</w:t>
            </w:r>
            <w:r>
              <w:rPr>
                <w:rFonts w:ascii="仿宋_GB2312" w:eastAsia="仿宋_GB2312" w:hAnsi="仿宋_GB2312" w:cs="仿宋_GB2312" w:hint="eastAsia"/>
                <w:color w:val="000000"/>
                <w:szCs w:val="21"/>
              </w:rPr>
              <w:t>在科创企业风险预测方面，通过</w:t>
            </w:r>
            <w:r>
              <w:rPr>
                <w:rFonts w:ascii="仿宋_GB2312" w:eastAsia="仿宋_GB2312" w:hAnsi="仿宋_GB2312" w:cs="仿宋_GB2312" w:hint="eastAsia"/>
                <w:color w:val="000000"/>
                <w:szCs w:val="21"/>
              </w:rPr>
              <w:t>AI</w:t>
            </w:r>
            <w:r>
              <w:rPr>
                <w:rFonts w:ascii="仿宋_GB2312" w:eastAsia="仿宋_GB2312" w:hAnsi="仿宋_GB2312" w:cs="仿宋_GB2312" w:hint="eastAsia"/>
                <w:color w:val="000000"/>
                <w:szCs w:val="21"/>
              </w:rPr>
              <w:t>大模型方法分析总结企业信息，辅助</w:t>
            </w:r>
            <w:r>
              <w:rPr>
                <w:rFonts w:ascii="仿宋_GB2312" w:eastAsia="仿宋_GB2312" w:hAnsi="仿宋_GB2312" w:cs="仿宋_GB2312"/>
                <w:color w:val="000000"/>
                <w:szCs w:val="21"/>
              </w:rPr>
              <w:t>客户经理</w:t>
            </w:r>
            <w:r>
              <w:rPr>
                <w:rFonts w:ascii="仿宋_GB2312" w:eastAsia="仿宋_GB2312" w:hAnsi="仿宋_GB2312" w:cs="仿宋_GB2312" w:hint="eastAsia"/>
                <w:color w:val="000000"/>
                <w:szCs w:val="21"/>
              </w:rPr>
              <w:t>及时识别企业风险，降低企业贷款不良率。</w:t>
            </w:r>
          </w:p>
          <w:p w:rsidR="00B63F55" w:rsidRDefault="001C2BC6">
            <w:pPr>
              <w:spacing w:after="0" w:line="360" w:lineRule="exact"/>
              <w:jc w:val="both"/>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2.</w:t>
            </w:r>
            <w:r>
              <w:rPr>
                <w:rFonts w:ascii="仿宋_GB2312" w:eastAsia="仿宋_GB2312" w:hAnsi="仿宋_GB2312" w:cs="仿宋_GB2312" w:hint="eastAsia"/>
                <w:color w:val="000000"/>
                <w:szCs w:val="21"/>
              </w:rPr>
              <w:t>在企业技术能力评估</w:t>
            </w:r>
            <w:r>
              <w:rPr>
                <w:rFonts w:ascii="仿宋_GB2312" w:eastAsia="仿宋_GB2312" w:hAnsi="仿宋_GB2312" w:cs="仿宋_GB2312"/>
                <w:color w:val="000000"/>
                <w:szCs w:val="21"/>
              </w:rPr>
              <w:t>方面</w:t>
            </w:r>
            <w:r>
              <w:rPr>
                <w:rFonts w:ascii="仿宋_GB2312" w:eastAsia="仿宋_GB2312" w:hAnsi="仿宋_GB2312" w:cs="仿宋_GB2312" w:hint="eastAsia"/>
                <w:color w:val="000000"/>
                <w:szCs w:val="21"/>
              </w:rPr>
              <w:t>，通过</w:t>
            </w:r>
            <w:r>
              <w:rPr>
                <w:rFonts w:ascii="仿宋_GB2312" w:eastAsia="仿宋_GB2312" w:hAnsi="仿宋_GB2312" w:cs="仿宋_GB2312" w:hint="eastAsia"/>
                <w:color w:val="000000"/>
                <w:szCs w:val="21"/>
              </w:rPr>
              <w:t>AI</w:t>
            </w:r>
            <w:r>
              <w:rPr>
                <w:rFonts w:ascii="仿宋_GB2312" w:eastAsia="仿宋_GB2312" w:hAnsi="仿宋_GB2312" w:cs="仿宋_GB2312" w:hint="eastAsia"/>
                <w:color w:val="000000"/>
                <w:szCs w:val="21"/>
              </w:rPr>
              <w:t>大模型方法抽取专利文本，经过统计分析后生成科创企业的研发技术变化趋势报告，丰富评价体系维度，提升评价准确性。</w:t>
            </w:r>
          </w:p>
          <w:p w:rsidR="00B63F55" w:rsidRDefault="001C2BC6">
            <w:pPr>
              <w:spacing w:after="0" w:line="360" w:lineRule="exact"/>
              <w:jc w:val="both"/>
              <w:rPr>
                <w:rFonts w:eastAsia="仿宋_GB2312"/>
                <w:color w:val="000000"/>
              </w:rPr>
            </w:pPr>
            <w:r>
              <w:rPr>
                <w:rFonts w:ascii="仿宋_GB2312" w:eastAsia="仿宋_GB2312" w:hAnsi="仿宋_GB2312" w:cs="仿宋_GB2312" w:hint="eastAsia"/>
                <w:color w:val="000000"/>
                <w:szCs w:val="21"/>
              </w:rPr>
              <w:lastRenderedPageBreak/>
              <w:t>3.</w:t>
            </w:r>
            <w:r>
              <w:rPr>
                <w:rFonts w:ascii="仿宋_GB2312" w:eastAsia="仿宋_GB2312" w:hAnsi="仿宋_GB2312" w:cs="仿宋_GB2312" w:hint="eastAsia"/>
                <w:color w:val="000000"/>
                <w:szCs w:val="21"/>
              </w:rPr>
              <w:t>在科创企业信贷审批流程方面，借助</w:t>
            </w:r>
            <w:r>
              <w:rPr>
                <w:rFonts w:ascii="仿宋_GB2312" w:eastAsia="仿宋_GB2312" w:hAnsi="仿宋_GB2312" w:cs="仿宋_GB2312" w:hint="eastAsia"/>
                <w:iCs/>
                <w:color w:val="000000"/>
                <w:szCs w:val="21"/>
              </w:rPr>
              <w:t>科创企业分析助手</w:t>
            </w:r>
            <w:r>
              <w:rPr>
                <w:rFonts w:ascii="仿宋_GB2312" w:eastAsia="仿宋_GB2312" w:hAnsi="仿宋_GB2312" w:cs="仿宋_GB2312" w:hint="eastAsia"/>
                <w:color w:val="000000"/>
                <w:szCs w:val="21"/>
              </w:rPr>
              <w:t>辅助行内客户经理开展信贷评估，进一步提升科创企业信贷业务办理效率。</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预期效果</w:t>
            </w:r>
          </w:p>
        </w:tc>
        <w:tc>
          <w:tcPr>
            <w:tcW w:w="5553" w:type="dxa"/>
            <w:gridSpan w:val="4"/>
            <w:vAlign w:val="center"/>
          </w:tcPr>
          <w:p w:rsidR="00B63F55" w:rsidRDefault="001C2BC6">
            <w:pPr>
              <w:spacing w:after="0" w:line="360" w:lineRule="exact"/>
              <w:jc w:val="both"/>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对科创企业的综合创新发展能力及风险状况进行动态持续地“数字化”评价，全面提升我行对于科创企业信贷风险把控能力，巩固我行科技企业技术流评价体系在同业当中的领先地位。</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预期规模</w:t>
            </w:r>
          </w:p>
        </w:tc>
        <w:tc>
          <w:tcPr>
            <w:tcW w:w="5553" w:type="dxa"/>
            <w:gridSpan w:val="4"/>
            <w:vAlign w:val="center"/>
          </w:tcPr>
          <w:p w:rsidR="00B63F55" w:rsidRDefault="001C2BC6">
            <w:pPr>
              <w:spacing w:after="0" w:line="360" w:lineRule="exact"/>
              <w:jc w:val="both"/>
              <w:rPr>
                <w:rFonts w:ascii="仿宋_GB2312" w:eastAsia="仿宋_GB2312" w:hAnsi="仿宋_GB2312" w:cs="仿宋_GB2312"/>
                <w:color w:val="000000"/>
                <w:szCs w:val="21"/>
              </w:rPr>
            </w:pPr>
            <w:r>
              <w:rPr>
                <w:rFonts w:ascii="仿宋_GB2312" w:eastAsia="仿宋_GB2312" w:hAnsi="仿宋_GB2312" w:cs="仿宋_GB2312" w:hint="eastAsia"/>
                <w:szCs w:val="21"/>
              </w:rPr>
              <w:t>按照风险可控原则合理确定用户范围和服务规模，</w:t>
            </w:r>
            <w:r>
              <w:rPr>
                <w:rFonts w:ascii="仿宋_GB2312" w:eastAsia="仿宋_GB2312" w:hAnsi="仿宋_GB2312" w:cs="仿宋_GB2312" w:hint="eastAsia"/>
                <w:color w:val="000000"/>
                <w:szCs w:val="21"/>
              </w:rPr>
              <w:t>预计</w:t>
            </w:r>
            <w:r>
              <w:rPr>
                <w:rFonts w:ascii="仿宋_GB2312" w:eastAsia="仿宋_GB2312" w:hAnsi="仿宋_GB2312" w:cs="仿宋_GB2312" w:hint="eastAsia"/>
                <w:szCs w:val="21"/>
              </w:rPr>
              <w:t>测试期内</w:t>
            </w:r>
            <w:r>
              <w:rPr>
                <w:rFonts w:ascii="仿宋_GB2312" w:eastAsia="仿宋_GB2312" w:hAnsi="仿宋_GB2312" w:cs="仿宋_GB2312" w:hint="eastAsia"/>
                <w:color w:val="000000"/>
                <w:szCs w:val="21"/>
              </w:rPr>
              <w:t>服务高新技术企业</w:t>
            </w:r>
            <w:r>
              <w:rPr>
                <w:rFonts w:ascii="仿宋_GB2312" w:eastAsia="仿宋_GB2312" w:hAnsi="仿宋_GB2312" w:cs="仿宋_GB2312" w:hint="eastAsia"/>
                <w:color w:val="000000"/>
                <w:szCs w:val="21"/>
              </w:rPr>
              <w:t>6.6</w:t>
            </w:r>
            <w:r>
              <w:rPr>
                <w:rFonts w:ascii="仿宋_GB2312" w:eastAsia="仿宋_GB2312" w:hAnsi="仿宋_GB2312" w:cs="仿宋_GB2312" w:hint="eastAsia"/>
                <w:color w:val="000000"/>
                <w:szCs w:val="21"/>
              </w:rPr>
              <w:t>万家。</w:t>
            </w:r>
          </w:p>
        </w:tc>
      </w:tr>
      <w:tr w:rsidR="00B63F55">
        <w:trPr>
          <w:trHeight w:val="454"/>
          <w:jc w:val="center"/>
        </w:trPr>
        <w:tc>
          <w:tcPr>
            <w:tcW w:w="1180" w:type="dxa"/>
            <w:vMerge w:val="restart"/>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创新应用</w:t>
            </w:r>
          </w:p>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服务信息</w:t>
            </w: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服务渠道</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color w:val="000000"/>
                <w:szCs w:val="21"/>
              </w:rPr>
              <w:t>中国建设银行手机</w:t>
            </w:r>
            <w:r>
              <w:rPr>
                <w:rFonts w:ascii="仿宋_GB2312" w:eastAsia="仿宋_GB2312" w:hAnsi="仿宋_GB2312" w:cs="仿宋_GB2312" w:hint="eastAsia"/>
                <w:color w:val="000000"/>
                <w:szCs w:val="21"/>
              </w:rPr>
              <w:t>APP</w:t>
            </w:r>
            <w:r>
              <w:rPr>
                <w:rFonts w:ascii="仿宋_GB2312" w:eastAsia="仿宋_GB2312" w:hAnsi="仿宋_GB2312" w:cs="仿宋_GB2312" w:hint="eastAsia"/>
                <w:color w:val="000000"/>
                <w:szCs w:val="21"/>
              </w:rPr>
              <w:t>端与</w:t>
            </w:r>
            <w:r>
              <w:rPr>
                <w:rFonts w:ascii="仿宋_GB2312" w:eastAsia="仿宋_GB2312" w:hAnsi="仿宋_GB2312" w:cs="仿宋_GB2312" w:hint="eastAsia"/>
                <w:color w:val="000000"/>
                <w:szCs w:val="21"/>
              </w:rPr>
              <w:t>PC</w:t>
            </w:r>
            <w:r>
              <w:rPr>
                <w:rFonts w:ascii="仿宋_GB2312" w:eastAsia="仿宋_GB2312" w:hAnsi="仿宋_GB2312" w:cs="仿宋_GB2312" w:hint="eastAsia"/>
                <w:color w:val="000000"/>
                <w:szCs w:val="21"/>
              </w:rPr>
              <w:t>端</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服务时间</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7</w:t>
            </w:r>
            <w:r>
              <w:rPr>
                <w:rFonts w:ascii="仿宋_GB2312" w:eastAsia="仿宋_GB2312" w:hAnsi="仿宋_GB2312" w:cs="仿宋_GB2312" w:hint="eastAsia"/>
                <w:szCs w:val="21"/>
              </w:rPr>
              <w:t>×</w:t>
            </w:r>
            <w:r>
              <w:rPr>
                <w:rFonts w:ascii="仿宋_GB2312" w:eastAsia="仿宋_GB2312" w:hAnsi="仿宋_GB2312" w:cs="仿宋_GB2312" w:hint="eastAsia"/>
                <w:szCs w:val="21"/>
              </w:rPr>
              <w:t>24</w:t>
            </w:r>
            <w:r>
              <w:rPr>
                <w:rFonts w:ascii="仿宋_GB2312" w:eastAsia="仿宋_GB2312" w:hAnsi="仿宋_GB2312" w:cs="仿宋_GB2312" w:hint="eastAsia"/>
                <w:szCs w:val="21"/>
              </w:rPr>
              <w:t>小时</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服务用户</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科技型企业</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服务协议书</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本项目仅限银行客户经理使用，无相关服务协议。</w:t>
            </w:r>
          </w:p>
        </w:tc>
      </w:tr>
      <w:tr w:rsidR="00B63F55">
        <w:trPr>
          <w:trHeight w:val="454"/>
          <w:jc w:val="center"/>
        </w:trPr>
        <w:tc>
          <w:tcPr>
            <w:tcW w:w="1180" w:type="dxa"/>
            <w:vMerge w:val="restart"/>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合法合规性评估</w:t>
            </w: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评估机构</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中国建设银行广东省分行科技金融业务中心</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评估时间</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2025</w:t>
            </w:r>
            <w:r>
              <w:rPr>
                <w:rFonts w:ascii="仿宋_GB2312" w:eastAsia="仿宋_GB2312" w:hAnsi="仿宋_GB2312" w:cs="仿宋_GB2312" w:hint="eastAsia"/>
                <w:szCs w:val="21"/>
              </w:rPr>
              <w:t>年</w:t>
            </w:r>
            <w:r>
              <w:rPr>
                <w:rFonts w:ascii="仿宋_GB2312" w:eastAsia="仿宋_GB2312" w:hAnsi="仿宋_GB2312" w:cs="仿宋_GB2312" w:hint="eastAsia"/>
                <w:szCs w:val="21"/>
              </w:rPr>
              <w:t>6</w:t>
            </w:r>
            <w:r>
              <w:rPr>
                <w:rFonts w:ascii="仿宋_GB2312" w:eastAsia="仿宋_GB2312" w:hAnsi="仿宋_GB2312" w:cs="仿宋_GB2312" w:hint="eastAsia"/>
                <w:szCs w:val="21"/>
              </w:rPr>
              <w:t>月</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有效期限</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2</w:t>
            </w:r>
            <w:r>
              <w:rPr>
                <w:rFonts w:ascii="仿宋_GB2312" w:eastAsia="仿宋_GB2312" w:hAnsi="仿宋_GB2312" w:cs="仿宋_GB2312" w:hint="eastAsia"/>
                <w:szCs w:val="21"/>
              </w:rPr>
              <w:t>年</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评估结论</w:t>
            </w:r>
          </w:p>
        </w:tc>
        <w:tc>
          <w:tcPr>
            <w:tcW w:w="5553" w:type="dxa"/>
            <w:gridSpan w:val="4"/>
            <w:vAlign w:val="center"/>
          </w:tcPr>
          <w:p w:rsidR="00B63F55" w:rsidRDefault="001C2BC6">
            <w:pPr>
              <w:spacing w:after="0" w:line="360" w:lineRule="exact"/>
              <w:jc w:val="both"/>
              <w:rPr>
                <w:rFonts w:ascii="仿宋_GB2312" w:eastAsia="仿宋_GB2312" w:hAnsi="仿宋_GB2312" w:cs="仿宋_GB2312"/>
                <w:szCs w:val="21"/>
              </w:rPr>
            </w:pPr>
            <w:r>
              <w:rPr>
                <w:rFonts w:ascii="仿宋_GB2312" w:eastAsia="仿宋_GB2312" w:hAnsi="仿宋_GB2312" w:cs="仿宋_GB2312" w:hint="eastAsia"/>
                <w:szCs w:val="21"/>
              </w:rPr>
              <w:t>本项目严格按照《中华人民共和国数据安全法》、《中华人民共和国个人信息保护法》、《中华人民共和国网络安全法》、《中华人民共和国反电信网络诈骗法》等相关国家法律法规及《中国人民银行金融消费者权益保护实施办法》、《电子银行业务管理办法》、《加快构建科技金融体制</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有力支撑高水平科技自立自强的若干政策举措》等相关金融行业政策文件要求进行设计，在数据收集和使用过程中采取措施保护个人金融信息和用户敏感信息安全，所提供金融服务符合相关法律法规要求，可依法合规开展业务应用。</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评估材料</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《合法合规性评估报告</w:t>
            </w:r>
            <w:r>
              <w:rPr>
                <w:rFonts w:ascii="仿宋_GB2312" w:eastAsia="仿宋_GB2312" w:hAnsi="仿宋_GB2312" w:cs="仿宋_GB2312" w:hint="eastAsia"/>
                <w:szCs w:val="21"/>
              </w:rPr>
              <w:t>-</w:t>
            </w:r>
            <w:r>
              <w:rPr>
                <w:rFonts w:ascii="仿宋_GB2312" w:eastAsia="仿宋_GB2312" w:hAnsi="仿宋_GB2312" w:cs="仿宋_GB2312" w:hint="eastAsia"/>
                <w:szCs w:val="21"/>
              </w:rPr>
              <w:t>基于大模型技术的科创企业信贷分析助手》（见附件</w:t>
            </w:r>
            <w:r>
              <w:rPr>
                <w:rFonts w:ascii="仿宋_GB2312" w:eastAsia="仿宋_GB2312" w:hAnsi="仿宋_GB2312" w:cs="仿宋_GB2312" w:hint="eastAsia"/>
                <w:szCs w:val="21"/>
              </w:rPr>
              <w:t>1</w:t>
            </w:r>
            <w:r>
              <w:rPr>
                <w:rFonts w:ascii="仿宋_GB2312" w:eastAsia="仿宋_GB2312" w:hAnsi="仿宋_GB2312" w:cs="仿宋_GB2312" w:hint="eastAsia"/>
                <w:szCs w:val="21"/>
              </w:rPr>
              <w:t>）</w:t>
            </w:r>
          </w:p>
        </w:tc>
      </w:tr>
      <w:tr w:rsidR="00B63F55">
        <w:trPr>
          <w:trHeight w:val="454"/>
          <w:jc w:val="center"/>
        </w:trPr>
        <w:tc>
          <w:tcPr>
            <w:tcW w:w="1180" w:type="dxa"/>
            <w:vMerge w:val="restart"/>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技术安全性评估</w:t>
            </w: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评估机构</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中国建设银行广东省分行金融科技部</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评估时间</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2025</w:t>
            </w:r>
            <w:r>
              <w:rPr>
                <w:rFonts w:ascii="仿宋_GB2312" w:eastAsia="仿宋_GB2312" w:hAnsi="仿宋_GB2312" w:cs="仿宋_GB2312" w:hint="eastAsia"/>
                <w:szCs w:val="21"/>
              </w:rPr>
              <w:t>年</w:t>
            </w:r>
            <w:r>
              <w:rPr>
                <w:rFonts w:ascii="仿宋_GB2312" w:eastAsia="仿宋_GB2312" w:hAnsi="仿宋_GB2312" w:cs="仿宋_GB2312" w:hint="eastAsia"/>
                <w:szCs w:val="21"/>
              </w:rPr>
              <w:t>6</w:t>
            </w:r>
            <w:r>
              <w:rPr>
                <w:rFonts w:ascii="仿宋_GB2312" w:eastAsia="仿宋_GB2312" w:hAnsi="仿宋_GB2312" w:cs="仿宋_GB2312" w:hint="eastAsia"/>
                <w:szCs w:val="21"/>
              </w:rPr>
              <w:t>月</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有效期限</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2</w:t>
            </w:r>
            <w:r>
              <w:rPr>
                <w:rFonts w:ascii="仿宋_GB2312" w:eastAsia="仿宋_GB2312" w:hAnsi="仿宋_GB2312" w:cs="仿宋_GB2312" w:hint="eastAsia"/>
                <w:szCs w:val="21"/>
              </w:rPr>
              <w:t>年</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评估结论</w:t>
            </w:r>
          </w:p>
        </w:tc>
        <w:tc>
          <w:tcPr>
            <w:tcW w:w="5553" w:type="dxa"/>
            <w:gridSpan w:val="4"/>
            <w:vAlign w:val="center"/>
          </w:tcPr>
          <w:p w:rsidR="00B63F55" w:rsidRDefault="001C2BC6">
            <w:pPr>
              <w:spacing w:after="0" w:line="360" w:lineRule="exact"/>
              <w:jc w:val="both"/>
              <w:rPr>
                <w:rFonts w:ascii="仿宋_GB2312" w:eastAsia="仿宋_GB2312" w:hAnsi="仿宋_GB2312" w:cs="仿宋_GB2312"/>
                <w:szCs w:val="21"/>
              </w:rPr>
            </w:pPr>
            <w:r>
              <w:rPr>
                <w:rFonts w:ascii="仿宋_GB2312" w:eastAsia="仿宋_GB2312" w:hAnsi="仿宋_GB2312" w:cs="仿宋_GB2312" w:hint="eastAsia"/>
                <w:szCs w:val="21"/>
              </w:rPr>
              <w:t>本项目严格按照《个人金融信息保护技术规范》（</w:t>
            </w:r>
            <w:r>
              <w:rPr>
                <w:rFonts w:ascii="仿宋_GB2312" w:eastAsia="仿宋_GB2312" w:hAnsi="仿宋_GB2312" w:cs="仿宋_GB2312" w:hint="eastAsia"/>
                <w:szCs w:val="21"/>
              </w:rPr>
              <w:t>JR/T 0171-2020</w:t>
            </w:r>
            <w:r>
              <w:rPr>
                <w:rFonts w:ascii="仿宋_GB2312" w:eastAsia="仿宋_GB2312" w:hAnsi="仿宋_GB2312" w:cs="仿宋_GB2312" w:hint="eastAsia"/>
                <w:szCs w:val="21"/>
              </w:rPr>
              <w:t>）、《金融科技创新安全通用规范》（</w:t>
            </w:r>
            <w:r>
              <w:rPr>
                <w:rFonts w:ascii="仿宋_GB2312" w:eastAsia="仿宋_GB2312" w:hAnsi="仿宋_GB2312" w:cs="仿宋_GB2312" w:hint="eastAsia"/>
                <w:szCs w:val="21"/>
              </w:rPr>
              <w:t xml:space="preserve">JR/T </w:t>
            </w:r>
            <w:r>
              <w:rPr>
                <w:rFonts w:ascii="仿宋_GB2312" w:eastAsia="仿宋_GB2312" w:hAnsi="仿宋_GB2312" w:cs="仿宋_GB2312" w:hint="eastAsia"/>
                <w:szCs w:val="21"/>
              </w:rPr>
              <w:lastRenderedPageBreak/>
              <w:t>0199-2020</w:t>
            </w:r>
            <w:r>
              <w:rPr>
                <w:rFonts w:ascii="仿宋_GB2312" w:eastAsia="仿宋_GB2312" w:hAnsi="仿宋_GB2312" w:cs="仿宋_GB2312" w:hint="eastAsia"/>
                <w:szCs w:val="21"/>
              </w:rPr>
              <w:t>）、《移动金融客户端应用软件安全管理规范》（</w:t>
            </w:r>
            <w:r>
              <w:rPr>
                <w:rFonts w:ascii="仿宋_GB2312" w:eastAsia="仿宋_GB2312" w:hAnsi="仿宋_GB2312" w:cs="仿宋_GB2312" w:hint="eastAsia"/>
                <w:szCs w:val="21"/>
              </w:rPr>
              <w:t>JR/T 0092-2019</w:t>
            </w:r>
            <w:r>
              <w:rPr>
                <w:rFonts w:ascii="仿宋_GB2312" w:eastAsia="仿宋_GB2312" w:hAnsi="仿宋_GB2312" w:cs="仿宋_GB2312" w:hint="eastAsia"/>
                <w:szCs w:val="21"/>
              </w:rPr>
              <w:t>）、《金融业数据能力建设指引》（</w:t>
            </w:r>
            <w:r>
              <w:rPr>
                <w:rFonts w:ascii="仿宋_GB2312" w:eastAsia="仿宋_GB2312" w:hAnsi="仿宋_GB2312" w:cs="仿宋_GB2312" w:hint="eastAsia"/>
                <w:szCs w:val="21"/>
              </w:rPr>
              <w:t>JR/T 0218-2021</w:t>
            </w:r>
            <w:r>
              <w:rPr>
                <w:rFonts w:ascii="仿宋_GB2312" w:eastAsia="仿宋_GB2312" w:hAnsi="仿宋_GB2312" w:cs="仿宋_GB2312" w:hint="eastAsia"/>
                <w:szCs w:val="21"/>
              </w:rPr>
              <w:t>）、《人工智能算法金融应用评价规范》（</w:t>
            </w:r>
            <w:r>
              <w:rPr>
                <w:rFonts w:ascii="仿宋_GB2312" w:eastAsia="仿宋_GB2312" w:hAnsi="仿宋_GB2312" w:cs="仿宋_GB2312" w:hint="eastAsia"/>
                <w:szCs w:val="21"/>
              </w:rPr>
              <w:t>JR/T</w:t>
            </w:r>
            <w:r>
              <w:rPr>
                <w:rFonts w:ascii="仿宋_GB2312" w:eastAsia="仿宋_GB2312" w:hAnsi="仿宋_GB2312" w:cs="仿宋_GB2312" w:hint="eastAsia"/>
                <w:szCs w:val="21"/>
              </w:rPr>
              <w:t xml:space="preserve"> 0221-2021</w:t>
            </w:r>
            <w:r>
              <w:rPr>
                <w:rFonts w:ascii="仿宋_GB2312" w:eastAsia="仿宋_GB2312" w:hAnsi="仿宋_GB2312" w:cs="仿宋_GB2312" w:hint="eastAsia"/>
                <w:szCs w:val="21"/>
              </w:rPr>
              <w:t>）、《金融领域科技伦理指引》（</w:t>
            </w:r>
            <w:r>
              <w:rPr>
                <w:rFonts w:ascii="仿宋_GB2312" w:eastAsia="仿宋_GB2312" w:hAnsi="仿宋_GB2312" w:cs="仿宋_GB2312" w:hint="eastAsia"/>
                <w:szCs w:val="21"/>
              </w:rPr>
              <w:t>JR/T 0258-2022</w:t>
            </w:r>
            <w:r>
              <w:rPr>
                <w:rFonts w:ascii="仿宋_GB2312" w:eastAsia="仿宋_GB2312" w:hAnsi="仿宋_GB2312" w:cs="仿宋_GB2312" w:hint="eastAsia"/>
                <w:szCs w:val="21"/>
              </w:rPr>
              <w:t>）等相关金融行业技术标准规范要求进行设计开发并进行全面安全评估。经评估，本项目符合现有相关行业标准要求。</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评估材料</w:t>
            </w:r>
          </w:p>
        </w:tc>
        <w:tc>
          <w:tcPr>
            <w:tcW w:w="5553" w:type="dxa"/>
            <w:gridSpan w:val="4"/>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《技术安全性评估报告</w:t>
            </w:r>
            <w:r>
              <w:rPr>
                <w:rFonts w:ascii="仿宋_GB2312" w:eastAsia="仿宋_GB2312" w:hAnsi="仿宋_GB2312" w:cs="仿宋_GB2312" w:hint="eastAsia"/>
                <w:szCs w:val="21"/>
              </w:rPr>
              <w:t>-</w:t>
            </w:r>
            <w:r>
              <w:rPr>
                <w:rFonts w:ascii="仿宋_GB2312" w:eastAsia="仿宋_GB2312" w:hAnsi="仿宋_GB2312" w:cs="仿宋_GB2312" w:hint="eastAsia"/>
                <w:szCs w:val="21"/>
              </w:rPr>
              <w:t>基于大模型技术的科创企业信贷分析助手》（见附件</w:t>
            </w:r>
            <w:r>
              <w:rPr>
                <w:rFonts w:ascii="仿宋_GB2312" w:eastAsia="仿宋_GB2312" w:hAnsi="仿宋_GB2312" w:cs="仿宋_GB2312" w:hint="eastAsia"/>
                <w:szCs w:val="21"/>
              </w:rPr>
              <w:t>2</w:t>
            </w:r>
            <w:r>
              <w:rPr>
                <w:rFonts w:ascii="仿宋_GB2312" w:eastAsia="仿宋_GB2312" w:hAnsi="仿宋_GB2312" w:cs="仿宋_GB2312" w:hint="eastAsia"/>
                <w:szCs w:val="21"/>
              </w:rPr>
              <w:t>）</w:t>
            </w:r>
          </w:p>
        </w:tc>
      </w:tr>
      <w:tr w:rsidR="00B63F55">
        <w:trPr>
          <w:trHeight w:val="454"/>
          <w:jc w:val="center"/>
        </w:trPr>
        <w:tc>
          <w:tcPr>
            <w:tcW w:w="1180" w:type="dxa"/>
            <w:vMerge w:val="restart"/>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风险防控</w:t>
            </w:r>
          </w:p>
        </w:tc>
        <w:tc>
          <w:tcPr>
            <w:tcW w:w="2100" w:type="dxa"/>
            <w:vMerge w:val="restart"/>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风控措施</w:t>
            </w:r>
          </w:p>
        </w:tc>
        <w:tc>
          <w:tcPr>
            <w:tcW w:w="347" w:type="dxa"/>
            <w:vMerge w:val="restart"/>
            <w:vAlign w:val="center"/>
          </w:tcPr>
          <w:p w:rsidR="00B63F55" w:rsidRDefault="001C2BC6">
            <w:pPr>
              <w:spacing w:after="0" w:line="300" w:lineRule="exact"/>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1</w:t>
            </w:r>
          </w:p>
        </w:tc>
        <w:tc>
          <w:tcPr>
            <w:tcW w:w="393" w:type="dxa"/>
            <w:vAlign w:val="center"/>
          </w:tcPr>
          <w:p w:rsidR="00B63F55" w:rsidRDefault="001C2BC6">
            <w:pPr>
              <w:spacing w:after="0" w:line="300" w:lineRule="exact"/>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风险点</w:t>
            </w:r>
          </w:p>
        </w:tc>
        <w:tc>
          <w:tcPr>
            <w:tcW w:w="4813" w:type="dxa"/>
            <w:gridSpan w:val="2"/>
            <w:vAlign w:val="center"/>
          </w:tcPr>
          <w:p w:rsidR="00B63F55" w:rsidRDefault="001C2BC6">
            <w:pPr>
              <w:spacing w:after="0" w:line="360" w:lineRule="exact"/>
              <w:jc w:val="both"/>
              <w:rPr>
                <w:rFonts w:ascii="仿宋_GB2312" w:eastAsia="仿宋_GB2312" w:hAnsi="仿宋_GB2312" w:cs="仿宋_GB2312"/>
                <w:szCs w:val="21"/>
              </w:rPr>
            </w:pPr>
            <w:r>
              <w:rPr>
                <w:rFonts w:ascii="仿宋_GB2312" w:eastAsia="仿宋_GB2312" w:hAnsi="仿宋_GB2312" w:cs="仿宋_GB2312" w:hint="eastAsia"/>
                <w:szCs w:val="21"/>
              </w:rPr>
              <w:t>在数据采集、存储、传输、使用等过程，由于技术缺陷或业务管理漏洞可能会造成数据的泄露风险。</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347" w:type="dxa"/>
            <w:vMerge/>
            <w:vAlign w:val="center"/>
          </w:tcPr>
          <w:p w:rsidR="00B63F55" w:rsidRDefault="00B63F55">
            <w:pPr>
              <w:spacing w:after="0" w:line="300" w:lineRule="exact"/>
              <w:jc w:val="center"/>
              <w:rPr>
                <w:rFonts w:ascii="仿宋_GB2312" w:eastAsia="仿宋_GB2312" w:hAnsi="仿宋_GB2312" w:cs="仿宋_GB2312"/>
                <w:sz w:val="18"/>
                <w:szCs w:val="18"/>
              </w:rPr>
            </w:pPr>
          </w:p>
        </w:tc>
        <w:tc>
          <w:tcPr>
            <w:tcW w:w="393" w:type="dxa"/>
            <w:vAlign w:val="center"/>
          </w:tcPr>
          <w:p w:rsidR="00B63F55" w:rsidRDefault="001C2BC6">
            <w:pPr>
              <w:spacing w:after="0" w:line="300" w:lineRule="exact"/>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防范措施</w:t>
            </w:r>
          </w:p>
        </w:tc>
        <w:tc>
          <w:tcPr>
            <w:tcW w:w="4813" w:type="dxa"/>
            <w:gridSpan w:val="2"/>
            <w:vAlign w:val="center"/>
          </w:tcPr>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szCs w:val="21"/>
              </w:rPr>
              <w:t>遵循“用户授权、最小够用、全程防护”原则，充分评估潜在风险，加强数据全生命周期安全管理，严防用户数据的泄露、篡改和滥用风险</w:t>
            </w:r>
            <w:r>
              <w:rPr>
                <w:rFonts w:ascii="仿宋_GB2312" w:eastAsia="仿宋_GB2312" w:hAnsi="仿宋_GB2312" w:cs="仿宋_GB2312"/>
                <w:szCs w:val="21"/>
              </w:rPr>
              <w:t>,</w:t>
            </w:r>
            <w:r>
              <w:rPr>
                <w:rFonts w:ascii="仿宋_GB2312" w:eastAsia="仿宋_GB2312" w:hAnsi="仿宋_GB2312" w:cs="仿宋_GB2312"/>
                <w:szCs w:val="21"/>
              </w:rPr>
              <w:t>保障用户数据安全。数据采集时，通过隐私政策文件、个人信息授权书等方式明示用户数据采集和使用目的、方式以及范围，获取用户明确授权后方可采集。数据存储时，通过数据泛化等技术将原始信息进行脱敏，并与关联性较高的敏感信息进行安全隔离、分散存储，严控访问权限，降低数据泄露风险。数据传输时，采用加密通道进行数据传输。数据使用时，借助标记化等技术，在不归集、不共享原始数据前提下，仅向外提供脱敏后的计</w:t>
            </w:r>
            <w:r>
              <w:rPr>
                <w:rFonts w:ascii="仿宋_GB2312" w:eastAsia="仿宋_GB2312" w:hAnsi="仿宋_GB2312" w:cs="仿宋_GB2312"/>
                <w:szCs w:val="21"/>
              </w:rPr>
              <w:t>算结果。</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347" w:type="dxa"/>
            <w:vMerge/>
            <w:vAlign w:val="center"/>
          </w:tcPr>
          <w:p w:rsidR="00B63F55" w:rsidRDefault="00B63F55">
            <w:pPr>
              <w:spacing w:after="0" w:line="300" w:lineRule="exact"/>
              <w:jc w:val="center"/>
              <w:rPr>
                <w:rFonts w:ascii="仿宋_GB2312" w:eastAsia="仿宋_GB2312" w:hAnsi="仿宋_GB2312" w:cs="仿宋_GB2312"/>
                <w:sz w:val="18"/>
                <w:szCs w:val="18"/>
              </w:rPr>
            </w:pPr>
          </w:p>
        </w:tc>
        <w:tc>
          <w:tcPr>
            <w:tcW w:w="393" w:type="dxa"/>
            <w:vAlign w:val="center"/>
          </w:tcPr>
          <w:p w:rsidR="00B63F55" w:rsidRDefault="001C2BC6">
            <w:pPr>
              <w:spacing w:after="0" w:line="300" w:lineRule="exact"/>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风险点</w:t>
            </w:r>
          </w:p>
        </w:tc>
        <w:tc>
          <w:tcPr>
            <w:tcW w:w="4813" w:type="dxa"/>
            <w:gridSpan w:val="2"/>
            <w:vAlign w:val="center"/>
          </w:tcPr>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szCs w:val="21"/>
              </w:rPr>
              <w:t>模型幻觉风险：大模型可能虚构企业不存在的技术专利或财务数据，导致评价失真，影响客户的授信审批。</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347" w:type="dxa"/>
            <w:vMerge/>
            <w:vAlign w:val="center"/>
          </w:tcPr>
          <w:p w:rsidR="00B63F55" w:rsidRDefault="00B63F55">
            <w:pPr>
              <w:spacing w:after="0" w:line="300" w:lineRule="exact"/>
              <w:jc w:val="center"/>
              <w:rPr>
                <w:rFonts w:ascii="仿宋_GB2312" w:eastAsia="仿宋_GB2312" w:hAnsi="仿宋_GB2312" w:cs="仿宋_GB2312"/>
                <w:sz w:val="18"/>
                <w:szCs w:val="18"/>
              </w:rPr>
            </w:pPr>
          </w:p>
        </w:tc>
        <w:tc>
          <w:tcPr>
            <w:tcW w:w="393" w:type="dxa"/>
            <w:vAlign w:val="center"/>
          </w:tcPr>
          <w:p w:rsidR="00B63F55" w:rsidRDefault="001C2BC6">
            <w:pPr>
              <w:spacing w:after="0" w:line="300" w:lineRule="exact"/>
              <w:jc w:val="center"/>
              <w:rPr>
                <w:rFonts w:ascii="仿宋_GB2312" w:eastAsia="仿宋_GB2312" w:hAnsi="仿宋_GB2312" w:cs="仿宋_GB2312"/>
                <w:sz w:val="18"/>
                <w:szCs w:val="18"/>
              </w:rPr>
            </w:pPr>
            <w:r>
              <w:rPr>
                <w:rFonts w:ascii="仿宋_GB2312" w:eastAsia="仿宋_GB2312" w:hAnsi="仿宋_GB2312" w:cs="仿宋_GB2312" w:hint="eastAsia"/>
                <w:sz w:val="18"/>
                <w:szCs w:val="18"/>
              </w:rPr>
              <w:t>防范措施</w:t>
            </w:r>
          </w:p>
        </w:tc>
        <w:tc>
          <w:tcPr>
            <w:tcW w:w="4813" w:type="dxa"/>
            <w:gridSpan w:val="2"/>
            <w:vAlign w:val="center"/>
          </w:tcPr>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szCs w:val="21"/>
              </w:rPr>
              <w:t>建立多源数据交叉验证机制，对自动化生成的</w:t>
            </w:r>
            <w:r>
              <w:rPr>
                <w:rFonts w:ascii="仿宋_GB2312" w:eastAsia="仿宋_GB2312" w:hAnsi="仿宋_GB2312" w:cs="仿宋_GB2312" w:hint="eastAsia"/>
                <w:szCs w:val="21"/>
              </w:rPr>
              <w:t>AI</w:t>
            </w:r>
            <w:r>
              <w:rPr>
                <w:rFonts w:ascii="仿宋_GB2312" w:eastAsia="仿宋_GB2312" w:hAnsi="仿宋_GB2312" w:cs="仿宋_GB2312" w:hint="eastAsia"/>
                <w:szCs w:val="21"/>
              </w:rPr>
              <w:t>评价结果进行评审。定期更新</w:t>
            </w:r>
            <w:r>
              <w:rPr>
                <w:rFonts w:ascii="仿宋_GB2312" w:eastAsia="仿宋_GB2312" w:hAnsi="仿宋_GB2312" w:cs="仿宋_GB2312" w:hint="eastAsia"/>
                <w:szCs w:val="21"/>
              </w:rPr>
              <w:t>AI</w:t>
            </w:r>
            <w:r>
              <w:rPr>
                <w:rFonts w:ascii="仿宋_GB2312" w:eastAsia="仿宋_GB2312" w:hAnsi="仿宋_GB2312" w:cs="仿宋_GB2312" w:hint="eastAsia"/>
                <w:szCs w:val="21"/>
              </w:rPr>
              <w:t>大模型，使</w:t>
            </w:r>
            <w:r>
              <w:rPr>
                <w:rFonts w:ascii="仿宋_GB2312" w:eastAsia="仿宋_GB2312" w:hAnsi="仿宋_GB2312" w:cs="仿宋_GB2312" w:hint="eastAsia"/>
                <w:szCs w:val="21"/>
              </w:rPr>
              <w:t>AI</w:t>
            </w:r>
            <w:r>
              <w:rPr>
                <w:rFonts w:ascii="仿宋_GB2312" w:eastAsia="仿宋_GB2312" w:hAnsi="仿宋_GB2312" w:cs="仿宋_GB2312" w:hint="eastAsia"/>
                <w:szCs w:val="21"/>
              </w:rPr>
              <w:t>评价维度始终正确反映科技企业主体的真实情况。</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风险补偿机制</w:t>
            </w:r>
          </w:p>
        </w:tc>
        <w:tc>
          <w:tcPr>
            <w:tcW w:w="5553" w:type="dxa"/>
            <w:gridSpan w:val="4"/>
            <w:vAlign w:val="center"/>
          </w:tcPr>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szCs w:val="21"/>
              </w:rPr>
              <w:t>本项目针对可能存在风险隐患，建立健全风险补偿机制（见附件</w:t>
            </w:r>
            <w:r>
              <w:rPr>
                <w:rFonts w:ascii="仿宋_GB2312" w:eastAsia="仿宋_GB2312" w:hAnsi="仿宋_GB2312" w:cs="仿宋_GB2312" w:hint="eastAsia"/>
                <w:szCs w:val="21"/>
              </w:rPr>
              <w:t>3</w:t>
            </w:r>
            <w:r>
              <w:rPr>
                <w:rFonts w:ascii="仿宋_GB2312" w:eastAsia="仿宋_GB2312" w:hAnsi="仿宋_GB2312" w:cs="仿宋_GB2312" w:hint="eastAsia"/>
                <w:szCs w:val="21"/>
              </w:rPr>
              <w:t>），明确风险责任认定方式、制定风险赔付机制，配套风险拨备资金、保险计划等补偿措施，切实保障金融消费者合法权益。在金融消费者因使用金融服</w:t>
            </w:r>
            <w:r>
              <w:rPr>
                <w:rFonts w:ascii="仿宋_GB2312" w:eastAsia="仿宋_GB2312" w:hAnsi="仿宋_GB2312" w:cs="仿宋_GB2312" w:hint="eastAsia"/>
                <w:szCs w:val="21"/>
              </w:rPr>
              <w:lastRenderedPageBreak/>
              <w:t>务而出现资金损失时，按照风险补偿机制进行赔付。对于非客户自身责任导致的资金损失，提供全额补偿，充分保障消费者合法权益。</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退出机制</w:t>
            </w:r>
          </w:p>
        </w:tc>
        <w:tc>
          <w:tcPr>
            <w:tcW w:w="5553" w:type="dxa"/>
            <w:gridSpan w:val="4"/>
            <w:vAlign w:val="center"/>
          </w:tcPr>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szCs w:val="21"/>
              </w:rPr>
              <w:t>本项目按照退出预案（见附件</w:t>
            </w:r>
            <w:r>
              <w:rPr>
                <w:rFonts w:ascii="仿宋_GB2312" w:eastAsia="仿宋_GB2312" w:hAnsi="仿宋_GB2312" w:cs="仿宋_GB2312" w:hint="eastAsia"/>
                <w:szCs w:val="21"/>
              </w:rPr>
              <w:t>4</w:t>
            </w:r>
            <w:r>
              <w:rPr>
                <w:rFonts w:ascii="仿宋_GB2312" w:eastAsia="仿宋_GB2312" w:hAnsi="仿宋_GB2312" w:cs="仿宋_GB2312" w:hint="eastAsia"/>
                <w:szCs w:val="21"/>
              </w:rPr>
              <w:t>），在保障用户资金和信息安全的前提下进行系统平稳退出。当满足退出条件时，在业务方面，按照退出方案终止有关服务，及时告知客户并与客户解除协议；如遇法律纠纷，按照服务协议约定进行仲裁、诉讼；涉及资金的，按照服务协议约定退还客户，对客户造成资金损失的通过风险补偿机制进行赔偿。在技术方面，由科技部门对进行系统下线处置。涉及数据的，按照国家及金融行业相关规范要求做好数据清理、隐私保护等工作。</w:t>
            </w:r>
          </w:p>
        </w:tc>
      </w:tr>
      <w:tr w:rsidR="00B63F55">
        <w:trPr>
          <w:trHeight w:val="454"/>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应急预案</w:t>
            </w:r>
          </w:p>
        </w:tc>
        <w:tc>
          <w:tcPr>
            <w:tcW w:w="5553" w:type="dxa"/>
            <w:gridSpan w:val="4"/>
            <w:vAlign w:val="center"/>
          </w:tcPr>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szCs w:val="21"/>
              </w:rPr>
              <w:t>本项目建立完善的应急处置预案（见附件</w:t>
            </w:r>
            <w:r>
              <w:rPr>
                <w:rFonts w:ascii="仿宋_GB2312" w:eastAsia="仿宋_GB2312" w:hAnsi="仿宋_GB2312" w:cs="仿宋_GB2312" w:hint="eastAsia"/>
                <w:szCs w:val="21"/>
              </w:rPr>
              <w:t>5</w:t>
            </w:r>
            <w:r>
              <w:rPr>
                <w:rFonts w:ascii="仿宋_GB2312" w:eastAsia="仿宋_GB2312" w:hAnsi="仿宋_GB2312" w:cs="仿宋_GB2312" w:hint="eastAsia"/>
                <w:szCs w:val="21"/>
              </w:rPr>
              <w:t>），妥善处理突发安全事件，切实保障业务稳定运行和用户合法权益。在系统上线前进行全链路压测、容灾演练，对相关操作人员进行应急处置培训；在系统上线后定期开展突发事件处置演练，确保应急预案的全面性、合理性和可操作性。建立日常生产运行监控机制，</w:t>
            </w:r>
            <w:r>
              <w:rPr>
                <w:rFonts w:ascii="仿宋_GB2312" w:eastAsia="仿宋_GB2312" w:hAnsi="仿宋_GB2312" w:cs="仿宋_GB2312" w:hint="eastAsia"/>
                <w:szCs w:val="21"/>
              </w:rPr>
              <w:t>7</w:t>
            </w:r>
            <w:r>
              <w:rPr>
                <w:rFonts w:ascii="仿宋_GB2312" w:eastAsia="仿宋_GB2312" w:hAnsi="仿宋_GB2312" w:cs="仿宋_GB2312" w:hint="eastAsia"/>
                <w:szCs w:val="21"/>
              </w:rPr>
              <w:t>×</w:t>
            </w:r>
            <w:r>
              <w:rPr>
                <w:rFonts w:ascii="仿宋_GB2312" w:eastAsia="仿宋_GB2312" w:hAnsi="仿宋_GB2312" w:cs="仿宋_GB2312" w:hint="eastAsia"/>
                <w:szCs w:val="21"/>
              </w:rPr>
              <w:t>24</w:t>
            </w:r>
            <w:r>
              <w:rPr>
                <w:rFonts w:ascii="仿宋_GB2312" w:eastAsia="仿宋_GB2312" w:hAnsi="仿宋_GB2312" w:cs="仿宋_GB2312" w:hint="eastAsia"/>
                <w:szCs w:val="21"/>
              </w:rPr>
              <w:t>小时实时监控系统运行状况，第一时间对核心链路、接口、功能模块、硬件资源等的异常情况进行告警。一旦发生突发事件，根据其影响范围和危害程度，及时采取有针对性措施进行分级分类处理，由于本本应用为科技企业授信评价中辅助性评价指标，若系统运</w:t>
            </w:r>
            <w:r>
              <w:rPr>
                <w:rFonts w:ascii="仿宋_GB2312" w:eastAsia="仿宋_GB2312" w:hAnsi="仿宋_GB2312" w:cs="仿宋_GB2312" w:hint="eastAsia"/>
                <w:szCs w:val="21"/>
              </w:rPr>
              <w:t>行出行故障，业务可采用其他措施进行人工评估判断。</w:t>
            </w:r>
          </w:p>
        </w:tc>
      </w:tr>
      <w:tr w:rsidR="00B63F55">
        <w:trPr>
          <w:trHeight w:val="499"/>
          <w:jc w:val="center"/>
        </w:trPr>
        <w:tc>
          <w:tcPr>
            <w:tcW w:w="1180" w:type="dxa"/>
            <w:vMerge w:val="restart"/>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投诉响应机制</w:t>
            </w:r>
          </w:p>
        </w:tc>
        <w:tc>
          <w:tcPr>
            <w:tcW w:w="2100" w:type="dxa"/>
            <w:vMerge w:val="restart"/>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机构投诉</w:t>
            </w:r>
          </w:p>
        </w:tc>
        <w:tc>
          <w:tcPr>
            <w:tcW w:w="2129" w:type="dxa"/>
            <w:gridSpan w:val="3"/>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投诉渠道</w:t>
            </w:r>
          </w:p>
        </w:tc>
        <w:tc>
          <w:tcPr>
            <w:tcW w:w="3424" w:type="dxa"/>
            <w:vAlign w:val="center"/>
          </w:tcPr>
          <w:p w:rsidR="00B63F55" w:rsidRDefault="001C2BC6">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1.</w:t>
            </w:r>
            <w:r>
              <w:rPr>
                <w:rFonts w:ascii="仿宋_GB2312" w:eastAsia="仿宋_GB2312" w:hAnsi="仿宋_GB2312" w:cs="仿宋_GB2312" w:hint="eastAsia"/>
                <w:szCs w:val="21"/>
              </w:rPr>
              <w:t>营业网点</w:t>
            </w:r>
          </w:p>
          <w:p w:rsidR="00B63F55" w:rsidRDefault="001C2BC6">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向建设银行营业网点大堂经理、网点负责人反映问题或通过客户意见簿留言。</w:t>
            </w:r>
          </w:p>
          <w:p w:rsidR="00B63F55" w:rsidRDefault="001C2BC6">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2.</w:t>
            </w:r>
            <w:r>
              <w:rPr>
                <w:rFonts w:ascii="仿宋_GB2312" w:eastAsia="仿宋_GB2312" w:hAnsi="仿宋_GB2312" w:cs="仿宋_GB2312" w:hint="eastAsia"/>
                <w:szCs w:val="21"/>
              </w:rPr>
              <w:t>客服电话</w:t>
            </w:r>
          </w:p>
          <w:p w:rsidR="00B63F55" w:rsidRDefault="001C2BC6">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致电客户服务热线（</w:t>
            </w:r>
            <w:r>
              <w:rPr>
                <w:rFonts w:ascii="仿宋_GB2312" w:eastAsia="仿宋_GB2312" w:hAnsi="仿宋_GB2312" w:cs="仿宋_GB2312"/>
                <w:szCs w:val="21"/>
              </w:rPr>
              <w:t>95533</w:t>
            </w:r>
            <w:r>
              <w:rPr>
                <w:rFonts w:ascii="仿宋_GB2312" w:eastAsia="仿宋_GB2312" w:hAnsi="仿宋_GB2312" w:cs="仿宋_GB2312" w:hint="eastAsia"/>
                <w:szCs w:val="21"/>
              </w:rPr>
              <w:t>），选择人工服务联系客服代表。</w:t>
            </w:r>
          </w:p>
          <w:p w:rsidR="00B63F55" w:rsidRDefault="001C2BC6">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3.</w:t>
            </w:r>
            <w:r>
              <w:rPr>
                <w:rFonts w:ascii="仿宋_GB2312" w:eastAsia="仿宋_GB2312" w:hAnsi="仿宋_GB2312" w:cs="仿宋_GB2312" w:hint="eastAsia"/>
                <w:szCs w:val="21"/>
              </w:rPr>
              <w:t>门户网站</w:t>
            </w:r>
          </w:p>
          <w:p w:rsidR="00B63F55" w:rsidRDefault="001C2BC6">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通过门户网站（</w:t>
            </w:r>
            <w:r>
              <w:rPr>
                <w:rFonts w:ascii="仿宋_GB2312" w:eastAsia="仿宋_GB2312" w:hAnsi="仿宋_GB2312" w:cs="仿宋_GB2312" w:hint="eastAsia"/>
                <w:szCs w:val="21"/>
              </w:rPr>
              <w:t>www.</w:t>
            </w:r>
            <w:r>
              <w:rPr>
                <w:rFonts w:ascii="仿宋_GB2312" w:eastAsia="仿宋_GB2312" w:hAnsi="仿宋_GB2312" w:cs="仿宋_GB2312"/>
                <w:szCs w:val="21"/>
              </w:rPr>
              <w:t>ccb</w:t>
            </w:r>
            <w:r>
              <w:rPr>
                <w:rFonts w:ascii="仿宋_GB2312" w:eastAsia="仿宋_GB2312" w:hAnsi="仿宋_GB2312" w:cs="仿宋_GB2312" w:hint="eastAsia"/>
                <w:szCs w:val="21"/>
              </w:rPr>
              <w:t>.com</w:t>
            </w:r>
            <w:r>
              <w:rPr>
                <w:rFonts w:ascii="仿宋_GB2312" w:eastAsia="仿宋_GB2312" w:hAnsi="仿宋_GB2312" w:cs="仿宋_GB2312" w:hint="eastAsia"/>
                <w:szCs w:val="21"/>
              </w:rPr>
              <w:t>）“联系我行”栏目在线留言。</w:t>
            </w:r>
          </w:p>
          <w:p w:rsidR="00B63F55" w:rsidRDefault="001C2BC6">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lastRenderedPageBreak/>
              <w:t>4.</w:t>
            </w:r>
            <w:r>
              <w:rPr>
                <w:rFonts w:ascii="仿宋_GB2312" w:eastAsia="仿宋_GB2312" w:hAnsi="仿宋_GB2312" w:cs="仿宋_GB2312" w:hint="eastAsia"/>
                <w:szCs w:val="21"/>
              </w:rPr>
              <w:t>短信银行</w:t>
            </w:r>
          </w:p>
          <w:p w:rsidR="00B63F55" w:rsidRDefault="001C2BC6">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将您的投诉内容编辑成手机短信，发送至“</w:t>
            </w:r>
            <w:r>
              <w:rPr>
                <w:rFonts w:ascii="仿宋_GB2312" w:eastAsia="仿宋_GB2312" w:hAnsi="仿宋_GB2312" w:cs="仿宋_GB2312"/>
                <w:szCs w:val="21"/>
              </w:rPr>
              <w:t>95533</w:t>
            </w:r>
            <w:r>
              <w:rPr>
                <w:rFonts w:ascii="仿宋_GB2312" w:eastAsia="仿宋_GB2312" w:hAnsi="仿宋_GB2312" w:cs="仿宋_GB2312" w:hint="eastAsia"/>
                <w:szCs w:val="21"/>
              </w:rPr>
              <w:t>”。</w:t>
            </w:r>
          </w:p>
          <w:p w:rsidR="00B63F55" w:rsidRDefault="001C2BC6">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5.</w:t>
            </w:r>
            <w:r>
              <w:rPr>
                <w:rFonts w:ascii="仿宋_GB2312" w:eastAsia="仿宋_GB2312" w:hAnsi="仿宋_GB2312" w:cs="仿宋_GB2312" w:hint="eastAsia"/>
                <w:szCs w:val="21"/>
              </w:rPr>
              <w:t>微信银行</w:t>
            </w:r>
          </w:p>
          <w:p w:rsidR="00B63F55" w:rsidRDefault="001C2BC6">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关注“中国</w:t>
            </w:r>
            <w:r>
              <w:rPr>
                <w:rFonts w:ascii="仿宋_GB2312" w:eastAsia="仿宋_GB2312" w:hAnsi="仿宋_GB2312" w:cs="仿宋_GB2312"/>
                <w:szCs w:val="21"/>
              </w:rPr>
              <w:t>建设银行</w:t>
            </w:r>
            <w:r>
              <w:rPr>
                <w:rFonts w:ascii="仿宋_GB2312" w:eastAsia="仿宋_GB2312" w:hAnsi="仿宋_GB2312" w:cs="仿宋_GB2312" w:hint="eastAsia"/>
                <w:szCs w:val="21"/>
              </w:rPr>
              <w:t>”微信公众号，以文字、图片、语音等形式发送投诉内容。</w:t>
            </w:r>
          </w:p>
        </w:tc>
      </w:tr>
      <w:tr w:rsidR="00B63F55">
        <w:trPr>
          <w:trHeight w:val="499"/>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29" w:type="dxa"/>
            <w:gridSpan w:val="3"/>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投诉受理</w:t>
            </w:r>
          </w:p>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与处理机制</w:t>
            </w:r>
          </w:p>
        </w:tc>
        <w:tc>
          <w:tcPr>
            <w:tcW w:w="3424" w:type="dxa"/>
            <w:vAlign w:val="center"/>
          </w:tcPr>
          <w:p w:rsidR="00B63F55" w:rsidRDefault="001C2BC6">
            <w:pPr>
              <w:spacing w:line="360" w:lineRule="exact"/>
              <w:rPr>
                <w:rFonts w:ascii="仿宋_GB2312" w:eastAsia="仿宋_GB2312" w:hAnsi="仿宋_GB2312" w:cs="仿宋_GB2312"/>
                <w:szCs w:val="21"/>
              </w:rPr>
            </w:pPr>
            <w:r>
              <w:rPr>
                <w:rFonts w:ascii="仿宋_GB2312" w:eastAsia="仿宋_GB2312" w:hAnsi="仿宋_GB2312" w:cs="仿宋_GB2312" w:hint="eastAsia"/>
                <w:szCs w:val="21"/>
              </w:rPr>
              <w:t>我行接受投诉后，将指派相关分行核实情况，并及时告知客户投诉进展；项目团队也将及时、全力地协助解决相关问题。</w:t>
            </w:r>
          </w:p>
        </w:tc>
      </w:tr>
      <w:tr w:rsidR="00B63F55">
        <w:trPr>
          <w:trHeight w:val="499"/>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Merge w:val="restart"/>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自律投诉</w:t>
            </w:r>
          </w:p>
        </w:tc>
        <w:tc>
          <w:tcPr>
            <w:tcW w:w="2129" w:type="dxa"/>
            <w:gridSpan w:val="3"/>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投诉渠道</w:t>
            </w:r>
          </w:p>
        </w:tc>
        <w:tc>
          <w:tcPr>
            <w:tcW w:w="3424" w:type="dxa"/>
            <w:vAlign w:val="center"/>
          </w:tcPr>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szCs w:val="21"/>
              </w:rPr>
              <w:t>受理机构：中国互联网金融协会</w:t>
            </w:r>
          </w:p>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szCs w:val="21"/>
              </w:rPr>
              <w:t>投诉网站：</w:t>
            </w:r>
            <w:r>
              <w:rPr>
                <w:rFonts w:ascii="仿宋_GB2312" w:eastAsia="仿宋_GB2312" w:hAnsi="仿宋_GB2312" w:cs="仿宋_GB2312" w:hint="eastAsia"/>
                <w:szCs w:val="21"/>
              </w:rPr>
              <w:t>https://tousu.nifa.org.cn</w:t>
            </w:r>
          </w:p>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szCs w:val="21"/>
              </w:rPr>
              <w:t>投诉电话：</w:t>
            </w:r>
            <w:r>
              <w:rPr>
                <w:rFonts w:ascii="仿宋_GB2312" w:eastAsia="仿宋_GB2312" w:hAnsi="仿宋_GB2312" w:cs="仿宋_GB2312" w:hint="eastAsia"/>
                <w:szCs w:val="21"/>
              </w:rPr>
              <w:t>400-800-9616</w:t>
            </w:r>
          </w:p>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szCs w:val="21"/>
              </w:rPr>
              <w:t>投诉邮箱：</w:t>
            </w:r>
            <w:r>
              <w:rPr>
                <w:rFonts w:ascii="仿宋_GB2312" w:eastAsia="仿宋_GB2312" w:hAnsi="仿宋_GB2312" w:cs="仿宋_GB2312" w:hint="eastAsia"/>
                <w:szCs w:val="21"/>
              </w:rPr>
              <w:t>fintech_support@nifa.org.cn</w:t>
            </w:r>
          </w:p>
        </w:tc>
      </w:tr>
      <w:tr w:rsidR="00B63F55">
        <w:trPr>
          <w:trHeight w:val="499"/>
          <w:jc w:val="center"/>
        </w:trPr>
        <w:tc>
          <w:tcPr>
            <w:tcW w:w="118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00" w:type="dxa"/>
            <w:vMerge/>
            <w:vAlign w:val="center"/>
          </w:tcPr>
          <w:p w:rsidR="00B63F55" w:rsidRDefault="00B63F55">
            <w:pPr>
              <w:spacing w:after="0" w:line="360" w:lineRule="exact"/>
              <w:jc w:val="center"/>
              <w:rPr>
                <w:rFonts w:ascii="仿宋_GB2312" w:eastAsia="仿宋_GB2312" w:hAnsi="仿宋_GB2312" w:cs="仿宋_GB2312"/>
                <w:szCs w:val="21"/>
              </w:rPr>
            </w:pPr>
          </w:p>
        </w:tc>
        <w:tc>
          <w:tcPr>
            <w:tcW w:w="2129" w:type="dxa"/>
            <w:gridSpan w:val="3"/>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投诉受理</w:t>
            </w:r>
          </w:p>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与处理机制</w:t>
            </w:r>
          </w:p>
        </w:tc>
        <w:tc>
          <w:tcPr>
            <w:tcW w:w="3424" w:type="dxa"/>
            <w:vAlign w:val="center"/>
          </w:tcPr>
          <w:p w:rsidR="00B63F55" w:rsidRDefault="001C2BC6">
            <w:pPr>
              <w:spacing w:after="0" w:line="360" w:lineRule="exact"/>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中国互联网金融协会是经党中央、国务院同意，按照人民银行、银监会、证监会、保监会、工信部、公安部、工商总局等</w:t>
            </w:r>
            <w:r>
              <w:rPr>
                <w:rFonts w:ascii="仿宋_GB2312" w:eastAsia="仿宋_GB2312" w:hAnsi="仿宋_GB2312" w:cs="仿宋_GB2312" w:hint="eastAsia"/>
                <w:color w:val="000000"/>
                <w:szCs w:val="21"/>
              </w:rPr>
              <w:t>10</w:t>
            </w:r>
            <w:r>
              <w:rPr>
                <w:rFonts w:ascii="仿宋_GB2312" w:eastAsia="仿宋_GB2312" w:hAnsi="仿宋_GB2312" w:cs="仿宋_GB2312" w:hint="eastAsia"/>
                <w:color w:val="000000"/>
                <w:szCs w:val="21"/>
              </w:rPr>
              <w:t>部委联合发布的《关于促进互联网金融健康发展的指导意见》（银发〔</w:t>
            </w:r>
            <w:r>
              <w:rPr>
                <w:rFonts w:ascii="仿宋_GB2312" w:eastAsia="仿宋_GB2312" w:hAnsi="仿宋_GB2312" w:cs="仿宋_GB2312" w:hint="eastAsia"/>
                <w:color w:val="000000"/>
                <w:szCs w:val="21"/>
              </w:rPr>
              <w:t>2015</w:t>
            </w:r>
            <w:r>
              <w:rPr>
                <w:rFonts w:ascii="仿宋_GB2312" w:eastAsia="仿宋_GB2312" w:hAnsi="仿宋_GB2312" w:cs="仿宋_GB2312" w:hint="eastAsia"/>
                <w:color w:val="000000"/>
                <w:szCs w:val="21"/>
              </w:rPr>
              <w:t>〕</w:t>
            </w:r>
            <w:r>
              <w:rPr>
                <w:rFonts w:ascii="仿宋_GB2312" w:eastAsia="仿宋_GB2312" w:hAnsi="仿宋_GB2312" w:cs="仿宋_GB2312" w:hint="eastAsia"/>
                <w:color w:val="000000"/>
                <w:szCs w:val="21"/>
              </w:rPr>
              <w:t>221</w:t>
            </w:r>
            <w:r>
              <w:rPr>
                <w:rFonts w:ascii="仿宋_GB2312" w:eastAsia="仿宋_GB2312" w:hAnsi="仿宋_GB2312" w:cs="仿宋_GB2312" w:hint="eastAsia"/>
                <w:color w:val="000000"/>
                <w:szCs w:val="21"/>
              </w:rPr>
              <w:t>号）要求，由中国人民银行会同银监会、证监会、保监会等国家有关部委组织建立的国家级互联网金融行业自律组织。为保护金融消费者合法权益，营造守正、安全、普惠、开放的金融科技创新发展环境，协会按照金融管理部门相关要求建立健全消费者投诉处理机制。</w:t>
            </w:r>
          </w:p>
          <w:p w:rsidR="00B63F55" w:rsidRDefault="001C2BC6">
            <w:pPr>
              <w:spacing w:after="0" w:line="360" w:lineRule="exact"/>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对于涉及相关地区的金融科技创新应用项目的争议、投诉事项，</w:t>
            </w:r>
            <w:r>
              <w:rPr>
                <w:rFonts w:ascii="仿宋_GB2312" w:eastAsia="仿宋_GB2312" w:hAnsi="仿宋_GB2312" w:cs="仿宋_GB2312" w:hint="eastAsia"/>
                <w:color w:val="000000"/>
                <w:szCs w:val="21"/>
              </w:rPr>
              <w:lastRenderedPageBreak/>
              <w:t>协会接收投诉意见后，由相关部门</w:t>
            </w:r>
            <w:r>
              <w:rPr>
                <w:rFonts w:ascii="仿宋_GB2312" w:eastAsia="仿宋_GB2312" w:hAnsi="仿宋_GB2312" w:cs="仿宋_GB2312" w:hint="eastAsia"/>
                <w:color w:val="000000"/>
                <w:szCs w:val="21"/>
              </w:rPr>
              <w:t>依程序进行处置，并接受金融管理部门监督审查。</w:t>
            </w:r>
          </w:p>
          <w:p w:rsidR="00B63F55" w:rsidRDefault="001C2BC6">
            <w:pPr>
              <w:spacing w:after="0" w:line="360" w:lineRule="exact"/>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联系方式：</w:t>
            </w:r>
            <w:r>
              <w:rPr>
                <w:rFonts w:ascii="仿宋_GB2312" w:eastAsia="仿宋_GB2312" w:hAnsi="仿宋_GB2312" w:cs="仿宋_GB2312"/>
                <w:color w:val="000000"/>
                <w:szCs w:val="21"/>
              </w:rPr>
              <w:t>400-800-9616</w:t>
            </w:r>
          </w:p>
          <w:p w:rsidR="00B63F55" w:rsidRDefault="001C2BC6">
            <w:pPr>
              <w:spacing w:after="0" w:line="360" w:lineRule="exact"/>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对外办公时间：周一至周五</w:t>
            </w:r>
          </w:p>
          <w:p w:rsidR="00B63F55" w:rsidRDefault="001C2BC6">
            <w:pPr>
              <w:spacing w:after="0" w:line="360" w:lineRule="exact"/>
              <w:rPr>
                <w:rFonts w:ascii="仿宋_GB2312" w:eastAsia="仿宋_GB2312" w:hAnsi="仿宋_GB2312" w:cs="仿宋_GB2312"/>
                <w:color w:val="000000"/>
                <w:szCs w:val="21"/>
              </w:rPr>
            </w:pPr>
            <w:r>
              <w:rPr>
                <w:rFonts w:ascii="仿宋_GB2312" w:eastAsia="仿宋_GB2312" w:hAnsi="仿宋_GB2312" w:cs="仿宋_GB2312" w:hint="eastAsia"/>
                <w:color w:val="000000"/>
                <w:szCs w:val="21"/>
              </w:rPr>
              <w:t>上午</w:t>
            </w:r>
            <w:r>
              <w:rPr>
                <w:rFonts w:ascii="仿宋_GB2312" w:eastAsia="仿宋_GB2312" w:hAnsi="仿宋_GB2312" w:cs="仿宋_GB2312"/>
                <w:color w:val="000000"/>
                <w:szCs w:val="21"/>
              </w:rPr>
              <w:t>8:30-11:30</w:t>
            </w:r>
          </w:p>
          <w:p w:rsidR="00B63F55" w:rsidRDefault="001C2BC6">
            <w:pPr>
              <w:spacing w:after="0" w:line="360" w:lineRule="exact"/>
              <w:rPr>
                <w:rFonts w:ascii="仿宋_GB2312" w:eastAsia="仿宋_GB2312" w:hAnsi="仿宋_GB2312" w:cs="仿宋_GB2312"/>
                <w:szCs w:val="21"/>
              </w:rPr>
            </w:pPr>
            <w:r>
              <w:rPr>
                <w:rFonts w:ascii="仿宋_GB2312" w:eastAsia="仿宋_GB2312" w:hAnsi="仿宋_GB2312" w:cs="仿宋_GB2312" w:hint="eastAsia"/>
                <w:color w:val="000000"/>
                <w:szCs w:val="21"/>
              </w:rPr>
              <w:t>下午</w:t>
            </w:r>
            <w:r>
              <w:rPr>
                <w:rFonts w:ascii="仿宋_GB2312" w:eastAsia="仿宋_GB2312" w:hAnsi="仿宋_GB2312" w:cs="仿宋_GB2312"/>
                <w:color w:val="000000"/>
                <w:szCs w:val="21"/>
              </w:rPr>
              <w:t>13:30-17:00</w:t>
            </w:r>
          </w:p>
        </w:tc>
      </w:tr>
      <w:tr w:rsidR="00B63F55">
        <w:trPr>
          <w:trHeight w:val="1195"/>
          <w:jc w:val="center"/>
        </w:trPr>
        <w:tc>
          <w:tcPr>
            <w:tcW w:w="118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备注</w:t>
            </w:r>
          </w:p>
        </w:tc>
        <w:tc>
          <w:tcPr>
            <w:tcW w:w="7653" w:type="dxa"/>
            <w:gridSpan w:val="5"/>
            <w:vAlign w:val="center"/>
          </w:tcPr>
          <w:p w:rsidR="00B63F55" w:rsidRDefault="00B63F55">
            <w:pPr>
              <w:spacing w:after="0" w:line="360" w:lineRule="exact"/>
              <w:jc w:val="center"/>
              <w:rPr>
                <w:rFonts w:ascii="仿宋_GB2312" w:eastAsia="仿宋_GB2312" w:hAnsi="仿宋_GB2312" w:cs="仿宋_GB2312"/>
                <w:szCs w:val="21"/>
              </w:rPr>
            </w:pPr>
          </w:p>
        </w:tc>
      </w:tr>
      <w:tr w:rsidR="00B63F55">
        <w:trPr>
          <w:trHeight w:val="174"/>
          <w:jc w:val="center"/>
        </w:trPr>
        <w:tc>
          <w:tcPr>
            <w:tcW w:w="118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t>承诺声明</w:t>
            </w:r>
          </w:p>
        </w:tc>
        <w:tc>
          <w:tcPr>
            <w:tcW w:w="7653" w:type="dxa"/>
            <w:gridSpan w:val="5"/>
            <w:vAlign w:val="center"/>
          </w:tcPr>
          <w:p w:rsidR="00B63F55" w:rsidRDefault="001C2BC6">
            <w:pPr>
              <w:spacing w:after="0"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t>本机构承诺所提交的材料真实有效，严格遵守相关金融管理要求，并做出以下声明：</w:t>
            </w:r>
            <w:r>
              <w:rPr>
                <w:rFonts w:ascii="仿宋_GB2312" w:eastAsia="仿宋_GB2312" w:hAnsi="仿宋_GB2312" w:cs="仿宋_GB2312" w:hint="eastAsia"/>
                <w:szCs w:val="21"/>
              </w:rPr>
              <w:t xml:space="preserve"> </w:t>
            </w:r>
          </w:p>
          <w:p w:rsidR="00B63F55" w:rsidRDefault="001C2BC6">
            <w:pPr>
              <w:spacing w:after="0"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t>1.</w:t>
            </w:r>
            <w:r>
              <w:rPr>
                <w:rFonts w:ascii="仿宋_GB2312" w:eastAsia="仿宋_GB2312" w:hAnsi="仿宋_GB2312" w:cs="仿宋_GB2312" w:hint="eastAsia"/>
                <w:szCs w:val="21"/>
              </w:rPr>
              <w:t>守正创新。忠实履行金融天职和使命，着力解决实体经济痛点难点，确保科技创新不偏离正确的发展方向，严防技术滥用，切实通过技术创新满足人民群众对美好生活的期待与向往。</w:t>
            </w:r>
          </w:p>
          <w:p w:rsidR="00B63F55" w:rsidRDefault="001C2BC6">
            <w:pPr>
              <w:spacing w:after="0"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t>2.</w:t>
            </w:r>
            <w:r>
              <w:rPr>
                <w:rFonts w:ascii="仿宋_GB2312" w:eastAsia="仿宋_GB2312" w:hAnsi="仿宋_GB2312" w:cs="仿宋_GB2312" w:hint="eastAsia"/>
                <w:szCs w:val="21"/>
              </w:rPr>
              <w:t>以人为本。始终坚持以人民为中心的发展思想，坚持金融科技创新行为从人民群众实际需求出发，以增进社会共同福祉为目标，尊重并维护人民群众尊严和利益，致力促进社会和谐与文明进步。</w:t>
            </w:r>
          </w:p>
          <w:p w:rsidR="00B63F55" w:rsidRDefault="001C2BC6">
            <w:pPr>
              <w:spacing w:after="0"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t>3.</w:t>
            </w:r>
            <w:r>
              <w:rPr>
                <w:rFonts w:ascii="仿宋_GB2312" w:eastAsia="仿宋_GB2312" w:hAnsi="仿宋_GB2312" w:cs="仿宋_GB2312" w:hint="eastAsia"/>
                <w:szCs w:val="21"/>
              </w:rPr>
              <w:t>诚实守信。恪守社会主义核心价值观，将求真务实作为金融科技从业人员的基本素养，将履约践诺作为从事金融科技活动的基本要求，强化诚信道德自律，积极倡导诚实守信的良好社会风尚。</w:t>
            </w:r>
          </w:p>
          <w:p w:rsidR="00B63F55" w:rsidRDefault="001C2BC6">
            <w:pPr>
              <w:spacing w:after="0"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t>4.</w:t>
            </w:r>
            <w:r>
              <w:rPr>
                <w:rFonts w:ascii="仿宋_GB2312" w:eastAsia="仿宋_GB2312" w:hAnsi="仿宋_GB2312" w:cs="仿宋_GB2312" w:hint="eastAsia"/>
                <w:szCs w:val="21"/>
              </w:rPr>
              <w:t>公开透明。使用简明清晰、通俗易懂的方式，及时、真实、准确、完整地主动对外披露金融科技创新的功能实质和潜在风险，不隐瞒不利信息、不“劝诱”销售产品，让社会公众看</w:t>
            </w:r>
            <w:r>
              <w:rPr>
                <w:rFonts w:ascii="仿宋_GB2312" w:eastAsia="仿宋_GB2312" w:hAnsi="仿宋_GB2312" w:cs="仿宋_GB2312" w:hint="eastAsia"/>
                <w:szCs w:val="21"/>
              </w:rPr>
              <w:t>得到、读得懂、能监督。</w:t>
            </w:r>
          </w:p>
          <w:p w:rsidR="00B63F55" w:rsidRDefault="001C2BC6">
            <w:pPr>
              <w:spacing w:after="0"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t>5.</w:t>
            </w:r>
            <w:r>
              <w:rPr>
                <w:rFonts w:ascii="仿宋_GB2312" w:eastAsia="仿宋_GB2312" w:hAnsi="仿宋_GB2312" w:cs="仿宋_GB2312" w:hint="eastAsia"/>
                <w:szCs w:val="21"/>
              </w:rPr>
              <w:t>权益保护。充分尊重和保障人民群众隐私权、自主选择权、依法求偿权等合法权益，严格履行适当性义务，严防过度采集、违规使用、非法交易和泄露用户隐私数据行为，采取风险拨备资金、保险计划等补偿机制，切实保护用户资金和信息安全。</w:t>
            </w:r>
          </w:p>
          <w:p w:rsidR="00B63F55" w:rsidRDefault="001C2BC6">
            <w:pPr>
              <w:spacing w:after="0"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t>6.</w:t>
            </w:r>
            <w:r>
              <w:rPr>
                <w:rFonts w:ascii="仿宋_GB2312" w:eastAsia="仿宋_GB2312" w:hAnsi="仿宋_GB2312" w:cs="仿宋_GB2312" w:hint="eastAsia"/>
                <w:szCs w:val="21"/>
              </w:rPr>
              <w:t>安全合规。把遵守法律法规和维护金融稳定作为开展金融科技创新活动的前提条件，已通过业务合规性和技术安全性评估审计等措施保障新技术应用风险可控，避免新技术应用带来的数据泄露、算法黑箱、信息茧房等问题，切实防范技术和数据滥用可能导致的人民群众信息与资金失窃风险。</w:t>
            </w:r>
          </w:p>
          <w:p w:rsidR="00B63F55" w:rsidRDefault="001C2BC6">
            <w:pPr>
              <w:spacing w:after="0"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t>7.</w:t>
            </w:r>
            <w:r>
              <w:rPr>
                <w:rFonts w:ascii="仿宋_GB2312" w:eastAsia="仿宋_GB2312" w:hAnsi="仿宋_GB2312" w:cs="仿宋_GB2312" w:hint="eastAsia"/>
                <w:szCs w:val="21"/>
              </w:rPr>
              <w:t>公平普惠。应用新一代信息技术优化金融服务供给结构，持续增强金融服务的普适性、可得性和满意度。重点关注特殊人群、弱势群体需求，努力消除因使用成本、文化程度、地域限制等造成的“数字鸿沟”，不断提升人民群众的获得感、幸福感、安全感。</w:t>
            </w:r>
          </w:p>
          <w:p w:rsidR="00B63F55" w:rsidRDefault="001C2BC6">
            <w:pPr>
              <w:spacing w:after="0"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lastRenderedPageBreak/>
              <w:t>8.</w:t>
            </w:r>
            <w:r>
              <w:rPr>
                <w:rFonts w:ascii="仿宋_GB2312" w:eastAsia="仿宋_GB2312" w:hAnsi="仿宋_GB2312" w:cs="仿宋_GB2312" w:hint="eastAsia"/>
                <w:szCs w:val="21"/>
              </w:rPr>
              <w:t>社会责任。贯彻落实国家战略部署，围绕新时代经济社会发展的战略目标、战略重点，始终把社会效益放在首位，坚持社会效益和经济效益相统一，开展“负责任的创新”，打造“值得信赖的技术”，切实服务经济社会健康可持续发展。</w:t>
            </w:r>
          </w:p>
          <w:p w:rsidR="00B63F55" w:rsidRDefault="001C2BC6">
            <w:pPr>
              <w:spacing w:after="0"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t>本声明书正文与附件表述不一致的，以正文为准。</w:t>
            </w:r>
          </w:p>
          <w:p w:rsidR="00B63F55" w:rsidRDefault="001C2BC6">
            <w:pPr>
              <w:spacing w:after="0"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t>以上承诺如有违反，愿承担</w:t>
            </w:r>
            <w:r>
              <w:rPr>
                <w:rFonts w:ascii="仿宋_GB2312" w:eastAsia="仿宋_GB2312" w:hAnsi="仿宋_GB2312" w:cs="仿宋_GB2312" w:hint="eastAsia"/>
                <w:szCs w:val="21"/>
              </w:rPr>
              <w:t>相应责任与后果。</w:t>
            </w:r>
          </w:p>
          <w:p w:rsidR="00B63F55" w:rsidRDefault="00B63F55">
            <w:pPr>
              <w:spacing w:after="0" w:line="360" w:lineRule="exact"/>
              <w:ind w:firstLineChars="200" w:firstLine="452"/>
              <w:rPr>
                <w:rFonts w:ascii="仿宋_GB2312" w:eastAsia="仿宋_GB2312" w:hAnsi="仿宋_GB2312" w:cs="仿宋_GB2312"/>
                <w:szCs w:val="21"/>
              </w:rPr>
            </w:pPr>
          </w:p>
          <w:p w:rsidR="00B63F55" w:rsidRDefault="00B63F55">
            <w:pPr>
              <w:spacing w:after="0" w:line="360" w:lineRule="exact"/>
              <w:ind w:firstLineChars="200" w:firstLine="452"/>
              <w:rPr>
                <w:rFonts w:ascii="仿宋_GB2312" w:eastAsia="仿宋_GB2312" w:hAnsi="仿宋_GB2312" w:cs="仿宋_GB2312"/>
                <w:szCs w:val="21"/>
              </w:rPr>
            </w:pPr>
          </w:p>
          <w:p w:rsidR="00B63F55" w:rsidRDefault="00B63F55">
            <w:pPr>
              <w:spacing w:line="360" w:lineRule="exact"/>
              <w:ind w:firstLineChars="200" w:firstLine="452"/>
              <w:jc w:val="center"/>
              <w:rPr>
                <w:rFonts w:ascii="仿宋_GB2312" w:eastAsia="仿宋_GB2312" w:hAnsi="仿宋_GB2312" w:cs="仿宋_GB2312"/>
                <w:szCs w:val="21"/>
              </w:rPr>
            </w:pPr>
          </w:p>
          <w:p w:rsidR="00B63F55" w:rsidRDefault="001C2BC6">
            <w:pPr>
              <w:spacing w:line="360" w:lineRule="exact"/>
              <w:ind w:firstLineChars="200" w:firstLine="452"/>
              <w:rPr>
                <w:rFonts w:ascii="仿宋_GB2312" w:eastAsia="仿宋_GB2312" w:hAnsi="仿宋_GB2312" w:cs="仿宋_GB2312"/>
                <w:szCs w:val="21"/>
              </w:rPr>
            </w:pP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 xml:space="preserve">    </w:t>
            </w:r>
            <w:r>
              <w:rPr>
                <w:rFonts w:eastAsia="仿宋_GB2312" w:cs="Calibri"/>
                <w:szCs w:val="21"/>
              </w:rPr>
              <w:t>   </w:t>
            </w:r>
            <w:r>
              <w:rPr>
                <w:rFonts w:ascii="仿宋_GB2312" w:eastAsia="仿宋_GB2312" w:hAnsi="仿宋_GB2312" w:cs="仿宋_GB2312" w:hint="eastAsia"/>
                <w:szCs w:val="21"/>
              </w:rPr>
              <w:t xml:space="preserve">　年</w:t>
            </w:r>
            <w:r>
              <w:rPr>
                <w:rFonts w:eastAsia="仿宋_GB2312" w:cs="Calibri"/>
                <w:szCs w:val="21"/>
              </w:rPr>
              <w:t>  </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月</w:t>
            </w:r>
            <w:r>
              <w:rPr>
                <w:rFonts w:eastAsia="仿宋_GB2312" w:cs="Calibri"/>
                <w:szCs w:val="21"/>
              </w:rPr>
              <w:t>   </w:t>
            </w:r>
            <w:r>
              <w:rPr>
                <w:rFonts w:ascii="仿宋_GB2312" w:eastAsia="仿宋_GB2312" w:hAnsi="仿宋_GB2312" w:cs="仿宋_GB2312" w:hint="eastAsia"/>
                <w:szCs w:val="21"/>
              </w:rPr>
              <w:t xml:space="preserve"> </w:t>
            </w:r>
            <w:r>
              <w:rPr>
                <w:rFonts w:ascii="仿宋_GB2312" w:eastAsia="仿宋_GB2312" w:hAnsi="仿宋_GB2312" w:cs="仿宋_GB2312" w:hint="eastAsia"/>
                <w:szCs w:val="21"/>
              </w:rPr>
              <w:t>日（盖章）</w:t>
            </w:r>
          </w:p>
          <w:p w:rsidR="00B63F55" w:rsidRDefault="00B63F55">
            <w:pPr>
              <w:spacing w:after="0" w:line="360" w:lineRule="exact"/>
              <w:jc w:val="center"/>
              <w:rPr>
                <w:rFonts w:ascii="仿宋_GB2312" w:eastAsia="仿宋_GB2312" w:hAnsi="仿宋_GB2312" w:cs="仿宋_GB2312"/>
                <w:szCs w:val="21"/>
              </w:rPr>
            </w:pPr>
          </w:p>
        </w:tc>
      </w:tr>
      <w:tr w:rsidR="00B63F55">
        <w:trPr>
          <w:trHeight w:val="174"/>
          <w:jc w:val="center"/>
        </w:trPr>
        <w:tc>
          <w:tcPr>
            <w:tcW w:w="1180" w:type="dxa"/>
            <w:vAlign w:val="center"/>
          </w:tcPr>
          <w:p w:rsidR="00B63F55" w:rsidRDefault="001C2BC6">
            <w:pPr>
              <w:spacing w:after="0" w:line="360" w:lineRule="exact"/>
              <w:jc w:val="center"/>
              <w:rPr>
                <w:rFonts w:ascii="仿宋_GB2312" w:eastAsia="仿宋_GB2312" w:hAnsi="仿宋_GB2312" w:cs="仿宋_GB2312"/>
                <w:szCs w:val="21"/>
              </w:rPr>
            </w:pPr>
            <w:r>
              <w:rPr>
                <w:rFonts w:ascii="仿宋_GB2312" w:eastAsia="仿宋_GB2312" w:hAnsi="仿宋_GB2312" w:cs="仿宋_GB2312" w:hint="eastAsia"/>
                <w:szCs w:val="21"/>
              </w:rPr>
              <w:lastRenderedPageBreak/>
              <w:t xml:space="preserve"> </w:t>
            </w:r>
          </w:p>
        </w:tc>
        <w:tc>
          <w:tcPr>
            <w:tcW w:w="7653" w:type="dxa"/>
            <w:gridSpan w:val="5"/>
            <w:vAlign w:val="center"/>
          </w:tcPr>
          <w:p w:rsidR="00B63F55" w:rsidRDefault="00B63F55">
            <w:pPr>
              <w:spacing w:after="0" w:line="360" w:lineRule="exact"/>
              <w:jc w:val="center"/>
              <w:rPr>
                <w:rFonts w:ascii="仿宋_GB2312" w:eastAsia="仿宋_GB2312" w:hAnsi="仿宋_GB2312" w:cs="仿宋_GB2312"/>
                <w:szCs w:val="21"/>
              </w:rPr>
            </w:pPr>
          </w:p>
        </w:tc>
      </w:tr>
    </w:tbl>
    <w:p w:rsidR="00B63F55" w:rsidRDefault="00B63F55"/>
    <w:sectPr w:rsidR="00B63F55">
      <w:headerReference w:type="default" r:id="rId8"/>
      <w:footerReference w:type="default" r:id="rId9"/>
      <w:pgSz w:w="11906" w:h="16838"/>
      <w:pgMar w:top="1440" w:right="1326" w:bottom="1440" w:left="1800" w:header="1191" w:footer="1418" w:gutter="0"/>
      <w:pgNumType w:fmt="numberInDash"/>
      <w:cols w:space="720"/>
      <w:docGrid w:type="linesAndChars" w:linePitch="515" w:charSpace="3247"/>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C2BC6" w:rsidRDefault="001C2BC6">
      <w:pPr>
        <w:spacing w:line="240" w:lineRule="auto"/>
      </w:pPr>
      <w:r>
        <w:separator/>
      </w:r>
    </w:p>
  </w:endnote>
  <w:endnote w:type="continuationSeparator" w:id="0">
    <w:p w:rsidR="001C2BC6" w:rsidRDefault="001C2BC6">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黑体">
    <w:altName w:val="SimHei"/>
    <w:panose1 w:val="02010609060101010101"/>
    <w:charset w:val="86"/>
    <w:family w:val="modern"/>
    <w:pitch w:val="fixed"/>
    <w:sig w:usb0="800002BF" w:usb1="38CF7CFA"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altName w:val="仿宋"/>
    <w:charset w:val="00"/>
    <w:family w:val="modern"/>
    <w:pitch w:val="default"/>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F55" w:rsidRDefault="001C2BC6">
    <w:pPr>
      <w:pStyle w:val="a8"/>
    </w:pPr>
    <w:r>
      <w:pict>
        <v:rect id="_x0000_s2049" style="position:absolute;margin-left:0;margin-top:0;width:18.75pt;height:19.85pt;z-index:1;mso-wrap-style:none;mso-position-horizontal:center;mso-position-horizontal-relative:margin;mso-width-relative:page;mso-height-relative:page" o:preferrelative="t" filled="f" stroked="f">
          <v:textbox style="mso-fit-shape-to-text:t" inset="0,0,0,0">
            <w:txbxContent>
              <w:p w:rsidR="00B63F55" w:rsidRDefault="001C2BC6">
                <w:pPr>
                  <w:pStyle w:val="a8"/>
                </w:pPr>
                <w:r>
                  <w:rPr>
                    <w:rFonts w:hint="eastAsia"/>
                  </w:rPr>
                  <w:fldChar w:fldCharType="begin"/>
                </w:r>
                <w:r>
                  <w:rPr>
                    <w:rFonts w:hint="eastAsia"/>
                  </w:rPr>
                  <w:instrText xml:space="preserve"> PAGE  \* MERGEFORMAT </w:instrText>
                </w:r>
                <w:r>
                  <w:rPr>
                    <w:rFonts w:hint="eastAsia"/>
                  </w:rPr>
                  <w:fldChar w:fldCharType="separate"/>
                </w:r>
                <w:r w:rsidR="00F82C05">
                  <w:rPr>
                    <w:noProof/>
                  </w:rPr>
                  <w:t>- 1 -</w:t>
                </w:r>
                <w:r>
                  <w:rPr>
                    <w:rFonts w:hint="eastAsia"/>
                  </w:rPr>
                  <w:fldChar w:fldCharType="end"/>
                </w:r>
              </w:p>
            </w:txbxContent>
          </v:textbox>
          <w10:wrap anchorx="margin"/>
        </v:rect>
      </w:pic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C2BC6" w:rsidRDefault="001C2BC6">
      <w:pPr>
        <w:spacing w:line="240" w:lineRule="auto"/>
      </w:pPr>
      <w:r>
        <w:separator/>
      </w:r>
    </w:p>
  </w:footnote>
  <w:footnote w:type="continuationSeparator" w:id="0">
    <w:p w:rsidR="001C2BC6" w:rsidRDefault="001C2BC6">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63F55" w:rsidRDefault="00B63F55">
    <w:pPr>
      <w:pStyle w:val="a9"/>
      <w:pBdr>
        <w:bottom w:val="none" w:sz="0" w:space="1" w:color="auto"/>
      </w:pBdr>
      <w:jc w:val="left"/>
      <w:rPr>
        <w:rFonts w:ascii="仿宋_GB2312" w:eastAsia="仿宋_GB2312" w:hAnsi="仿宋_GB2312" w:cs="仿宋_GB2312"/>
        <w:b/>
        <w:bCs/>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FC91163"/>
    <w:multiLevelType w:val="multilevel"/>
    <w:tmpl w:val="1FC91163"/>
    <w:lvl w:ilvl="0">
      <w:start w:val="1"/>
      <w:numFmt w:val="decimal"/>
      <w:pStyle w:val="a"/>
      <w:suff w:val="nothing"/>
      <w:lvlText w:val="%1　"/>
      <w:lvlJc w:val="left"/>
      <w:pPr>
        <w:ind w:left="0" w:firstLine="0"/>
      </w:pPr>
      <w:rPr>
        <w:rFonts w:ascii="黑体" w:eastAsia="黑体" w:hAnsi="Times New Roman" w:hint="eastAsia"/>
        <w:b w:val="0"/>
        <w:i w:val="0"/>
        <w:sz w:val="21"/>
        <w:szCs w:val="21"/>
      </w:rPr>
    </w:lvl>
    <w:lvl w:ilvl="1">
      <w:start w:val="1"/>
      <w:numFmt w:val="decimal"/>
      <w:pStyle w:val="a0"/>
      <w:suff w:val="nothing"/>
      <w:lvlText w:val="%1.%2　"/>
      <w:lvlJc w:val="left"/>
      <w:pPr>
        <w:ind w:left="0" w:firstLine="0"/>
      </w:pPr>
      <w:rPr>
        <w:rFonts w:ascii="黑体" w:eastAsia="黑体" w:hAnsi="Times New Roman" w:cs="Times New Roman" w:hint="eastAsia"/>
        <w:b w:val="0"/>
        <w:bCs w:val="0"/>
        <w:i w:val="0"/>
        <w:iCs w:val="0"/>
        <w:caps w:val="0"/>
        <w:strike w:val="0"/>
        <w:dstrike w:val="0"/>
        <w:spacing w:val="0"/>
        <w:kern w:val="0"/>
        <w:position w:val="0"/>
        <w:sz w:val="21"/>
        <w:szCs w:val="21"/>
        <w:u w:val="none"/>
      </w:rPr>
    </w:lvl>
    <w:lvl w:ilvl="2">
      <w:start w:val="1"/>
      <w:numFmt w:val="decimal"/>
      <w:suff w:val="nothing"/>
      <w:lvlText w:val="%1.%2.%3　"/>
      <w:lvlJc w:val="left"/>
      <w:pPr>
        <w:ind w:left="0" w:firstLine="0"/>
      </w:pPr>
      <w:rPr>
        <w:rFonts w:ascii="黑体" w:eastAsia="黑体" w:hAnsi="Times New Roman" w:hint="eastAsia"/>
        <w:b w:val="0"/>
        <w:i w:val="0"/>
        <w:sz w:val="21"/>
      </w:rPr>
    </w:lvl>
    <w:lvl w:ilvl="3">
      <w:start w:val="1"/>
      <w:numFmt w:val="decimal"/>
      <w:suff w:val="nothing"/>
      <w:lvlText w:val="%1.%2.%3.%4　"/>
      <w:lvlJc w:val="left"/>
      <w:pPr>
        <w:ind w:left="0" w:firstLine="0"/>
      </w:pPr>
      <w:rPr>
        <w:rFonts w:ascii="黑体" w:eastAsia="黑体" w:hAnsi="Times New Roman" w:hint="eastAsia"/>
        <w:b w:val="0"/>
        <w:i w:val="0"/>
        <w:sz w:val="21"/>
      </w:rPr>
    </w:lvl>
    <w:lvl w:ilvl="4">
      <w:start w:val="1"/>
      <w:numFmt w:val="decimal"/>
      <w:suff w:val="nothing"/>
      <w:lvlText w:val="%1.%2.%3.%4.%5　"/>
      <w:lvlJc w:val="left"/>
      <w:pPr>
        <w:ind w:left="0" w:firstLine="0"/>
      </w:pPr>
      <w:rPr>
        <w:rFonts w:ascii="黑体" w:eastAsia="黑体" w:hAnsi="Times New Roman" w:hint="eastAsia"/>
        <w:b w:val="0"/>
        <w:i w:val="0"/>
        <w:sz w:val="21"/>
      </w:rPr>
    </w:lvl>
    <w:lvl w:ilvl="5">
      <w:start w:val="1"/>
      <w:numFmt w:val="decimal"/>
      <w:suff w:val="nothing"/>
      <w:lvlText w:val="%1.%2.%3.%4.%5.%6　"/>
      <w:lvlJc w:val="left"/>
      <w:pPr>
        <w:ind w:left="0" w:firstLine="0"/>
      </w:pPr>
      <w:rPr>
        <w:rFonts w:ascii="黑体" w:eastAsia="黑体" w:hAnsi="Times New Roman" w:hint="eastAsia"/>
        <w:b w:val="0"/>
        <w:i w:val="0"/>
        <w:sz w:val="21"/>
      </w:rPr>
    </w:lvl>
    <w:lvl w:ilvl="6">
      <w:start w:val="1"/>
      <w:numFmt w:val="decimal"/>
      <w:suff w:val="nothing"/>
      <w:lvlText w:val="%1%2.%3.%4.%5.%6.%7　"/>
      <w:lvlJc w:val="left"/>
      <w:pPr>
        <w:ind w:left="0" w:firstLine="0"/>
      </w:pPr>
      <w:rPr>
        <w:rFonts w:ascii="黑体" w:eastAsia="黑体" w:hAnsi="Times New Roman" w:hint="eastAsia"/>
        <w:b w:val="0"/>
        <w:i w:val="0"/>
        <w:sz w:val="21"/>
      </w:rPr>
    </w:lvl>
    <w:lvl w:ilvl="7">
      <w:start w:val="1"/>
      <w:numFmt w:val="decimal"/>
      <w:lvlText w:val="%1.%2.%3.%4.%5.%6.%7.%8"/>
      <w:lvlJc w:val="left"/>
      <w:pPr>
        <w:tabs>
          <w:tab w:val="left" w:pos="4351"/>
        </w:tabs>
        <w:ind w:left="3969" w:hanging="1418"/>
      </w:pPr>
      <w:rPr>
        <w:rFonts w:hint="eastAsia"/>
      </w:rPr>
    </w:lvl>
    <w:lvl w:ilvl="8">
      <w:start w:val="1"/>
      <w:numFmt w:val="decimal"/>
      <w:lvlText w:val="%1.%2.%3.%4.%5.%6.%7.%8.%9"/>
      <w:lvlJc w:val="left"/>
      <w:pPr>
        <w:tabs>
          <w:tab w:val="left" w:pos="4777"/>
        </w:tabs>
        <w:ind w:left="4677" w:hanging="1700"/>
      </w:pPr>
      <w:rPr>
        <w:rFonts w:hint="eastAsia"/>
      </w:rPr>
    </w:lvl>
  </w:abstractNum>
  <w:abstractNum w:abstractNumId="1">
    <w:nsid w:val="531DE3AD"/>
    <w:multiLevelType w:val="multilevel"/>
    <w:tmpl w:val="531DE3AD"/>
    <w:lvl w:ilvl="0">
      <w:start w:val="1"/>
      <w:numFmt w:val="decimal"/>
      <w:pStyle w:val="a1"/>
      <w:suff w:val="nothing"/>
      <w:lvlText w:val="注%1："/>
      <w:lvlJc w:val="left"/>
      <w:pPr>
        <w:ind w:left="811" w:hanging="448"/>
      </w:pPr>
      <w:rPr>
        <w:rFonts w:ascii="黑体" w:eastAsia="黑体" w:hint="eastAsia"/>
        <w:b w:val="0"/>
        <w:i w:val="0"/>
        <w:sz w:val="18"/>
        <w:lang w:val="en-US"/>
      </w:rPr>
    </w:lvl>
    <w:lvl w:ilvl="1">
      <w:start w:val="1"/>
      <w:numFmt w:val="lowerLetter"/>
      <w:lvlText w:val="%2)"/>
      <w:lvlJc w:val="left"/>
      <w:pPr>
        <w:tabs>
          <w:tab w:val="left" w:pos="0"/>
        </w:tabs>
        <w:ind w:left="992" w:hanging="629"/>
      </w:pPr>
      <w:rPr>
        <w:rFonts w:hint="eastAsia"/>
      </w:rPr>
    </w:lvl>
    <w:lvl w:ilvl="2">
      <w:start w:val="1"/>
      <w:numFmt w:val="lowerRoman"/>
      <w:lvlText w:val="%3."/>
      <w:lvlJc w:val="right"/>
      <w:pPr>
        <w:tabs>
          <w:tab w:val="left" w:pos="0"/>
        </w:tabs>
        <w:ind w:left="992" w:hanging="629"/>
      </w:pPr>
      <w:rPr>
        <w:rFonts w:hint="eastAsia"/>
      </w:rPr>
    </w:lvl>
    <w:lvl w:ilvl="3">
      <w:start w:val="1"/>
      <w:numFmt w:val="decimal"/>
      <w:lvlText w:val="%4."/>
      <w:lvlJc w:val="left"/>
      <w:pPr>
        <w:tabs>
          <w:tab w:val="left" w:pos="0"/>
        </w:tabs>
        <w:ind w:left="992" w:hanging="629"/>
      </w:pPr>
      <w:rPr>
        <w:rFonts w:hint="eastAsia"/>
      </w:rPr>
    </w:lvl>
    <w:lvl w:ilvl="4">
      <w:start w:val="1"/>
      <w:numFmt w:val="lowerLetter"/>
      <w:lvlText w:val="%5)"/>
      <w:lvlJc w:val="left"/>
      <w:pPr>
        <w:tabs>
          <w:tab w:val="left" w:pos="0"/>
        </w:tabs>
        <w:ind w:left="992" w:hanging="629"/>
      </w:pPr>
      <w:rPr>
        <w:rFonts w:hint="eastAsia"/>
      </w:rPr>
    </w:lvl>
    <w:lvl w:ilvl="5">
      <w:start w:val="1"/>
      <w:numFmt w:val="lowerRoman"/>
      <w:lvlText w:val="%6."/>
      <w:lvlJc w:val="right"/>
      <w:pPr>
        <w:tabs>
          <w:tab w:val="left" w:pos="0"/>
        </w:tabs>
        <w:ind w:left="992" w:hanging="629"/>
      </w:pPr>
      <w:rPr>
        <w:rFonts w:hint="eastAsia"/>
      </w:rPr>
    </w:lvl>
    <w:lvl w:ilvl="6">
      <w:start w:val="1"/>
      <w:numFmt w:val="decimal"/>
      <w:lvlText w:val="%7."/>
      <w:lvlJc w:val="left"/>
      <w:pPr>
        <w:tabs>
          <w:tab w:val="left" w:pos="0"/>
        </w:tabs>
        <w:ind w:left="992" w:hanging="629"/>
      </w:pPr>
      <w:rPr>
        <w:rFonts w:hint="eastAsia"/>
      </w:rPr>
    </w:lvl>
    <w:lvl w:ilvl="7">
      <w:start w:val="1"/>
      <w:numFmt w:val="lowerLetter"/>
      <w:lvlText w:val="%8)"/>
      <w:lvlJc w:val="left"/>
      <w:pPr>
        <w:tabs>
          <w:tab w:val="left" w:pos="0"/>
        </w:tabs>
        <w:ind w:left="992" w:hanging="629"/>
      </w:pPr>
      <w:rPr>
        <w:rFonts w:hint="eastAsia"/>
      </w:rPr>
    </w:lvl>
    <w:lvl w:ilvl="8">
      <w:start w:val="1"/>
      <w:numFmt w:val="lowerRoman"/>
      <w:lvlText w:val="%9."/>
      <w:lvlJc w:val="right"/>
      <w:pPr>
        <w:tabs>
          <w:tab w:val="left" w:pos="0"/>
        </w:tabs>
        <w:ind w:left="992" w:hanging="629"/>
      </w:pPr>
      <w:rPr>
        <w:rFonts w:hint="eastAsia"/>
      </w:r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oNotTrackMoves/>
  <w:defaultTabStop w:val="420"/>
  <w:drawingGridVerticalSpacing w:val="156"/>
  <w:displayHorizontalDrawingGridEvery w:val="0"/>
  <w:displayVerticalDrawingGridEvery w:val="2"/>
  <w:characterSpacingControl w:val="compressPunctuation"/>
  <w:hdrShapeDefaults>
    <o:shapedefaults v:ext="edit" spidmax="2050"/>
    <o:shapelayout v:ext="edit">
      <o:idmap v:ext="edit" data="2"/>
    </o:shapelayout>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2FC15DA5"/>
    <w:rsid w:val="FEF5AD3D"/>
    <w:rsid w:val="000271BB"/>
    <w:rsid w:val="000A6864"/>
    <w:rsid w:val="000D5A18"/>
    <w:rsid w:val="000F1BAA"/>
    <w:rsid w:val="0015378B"/>
    <w:rsid w:val="00184F5F"/>
    <w:rsid w:val="001A1F95"/>
    <w:rsid w:val="001B40BB"/>
    <w:rsid w:val="001C2BC6"/>
    <w:rsid w:val="001F4C87"/>
    <w:rsid w:val="00213F80"/>
    <w:rsid w:val="00250235"/>
    <w:rsid w:val="00265475"/>
    <w:rsid w:val="002F04E8"/>
    <w:rsid w:val="00323509"/>
    <w:rsid w:val="00361671"/>
    <w:rsid w:val="00377684"/>
    <w:rsid w:val="00397E07"/>
    <w:rsid w:val="003C6CB6"/>
    <w:rsid w:val="003E23F3"/>
    <w:rsid w:val="00487301"/>
    <w:rsid w:val="004A5F00"/>
    <w:rsid w:val="00552F6A"/>
    <w:rsid w:val="005546AA"/>
    <w:rsid w:val="0056269C"/>
    <w:rsid w:val="006444C2"/>
    <w:rsid w:val="00653B38"/>
    <w:rsid w:val="007042CB"/>
    <w:rsid w:val="00712367"/>
    <w:rsid w:val="00777D94"/>
    <w:rsid w:val="007B2F66"/>
    <w:rsid w:val="007C17D1"/>
    <w:rsid w:val="007D175A"/>
    <w:rsid w:val="00813836"/>
    <w:rsid w:val="008579C5"/>
    <w:rsid w:val="0087092E"/>
    <w:rsid w:val="00874DE8"/>
    <w:rsid w:val="008821B9"/>
    <w:rsid w:val="008D3D76"/>
    <w:rsid w:val="0096671F"/>
    <w:rsid w:val="00967B90"/>
    <w:rsid w:val="0099388B"/>
    <w:rsid w:val="009A356D"/>
    <w:rsid w:val="00A834DB"/>
    <w:rsid w:val="00B4180C"/>
    <w:rsid w:val="00B63F55"/>
    <w:rsid w:val="00BF098D"/>
    <w:rsid w:val="00C047F4"/>
    <w:rsid w:val="00C26158"/>
    <w:rsid w:val="00C848D5"/>
    <w:rsid w:val="00D063DD"/>
    <w:rsid w:val="00D3141E"/>
    <w:rsid w:val="00DE0940"/>
    <w:rsid w:val="00EB26E5"/>
    <w:rsid w:val="00ED351D"/>
    <w:rsid w:val="00F13297"/>
    <w:rsid w:val="00F811D8"/>
    <w:rsid w:val="00F82C05"/>
    <w:rsid w:val="00F939A4"/>
    <w:rsid w:val="0A7C3267"/>
    <w:rsid w:val="0F6A4BFD"/>
    <w:rsid w:val="206E5BD2"/>
    <w:rsid w:val="21D37A24"/>
    <w:rsid w:val="257A7019"/>
    <w:rsid w:val="28DA459D"/>
    <w:rsid w:val="2B1905E5"/>
    <w:rsid w:val="2C1831E1"/>
    <w:rsid w:val="2C5D315F"/>
    <w:rsid w:val="2FC15DA5"/>
    <w:rsid w:val="306843C4"/>
    <w:rsid w:val="361A2D68"/>
    <w:rsid w:val="3C1B2EC0"/>
    <w:rsid w:val="41272A8A"/>
    <w:rsid w:val="4B902731"/>
    <w:rsid w:val="511638AB"/>
    <w:rsid w:val="5B542CF6"/>
    <w:rsid w:val="5DD834FB"/>
    <w:rsid w:val="5FFFF06F"/>
    <w:rsid w:val="649A22CB"/>
    <w:rsid w:val="65C90C48"/>
    <w:rsid w:val="67C5688F"/>
    <w:rsid w:val="6D906158"/>
    <w:rsid w:val="75F729B9"/>
    <w:rsid w:val="76255491"/>
    <w:rsid w:val="7D7847E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5:docId w15:val="{9C45A8D5-0B70-47DE-9953-002377925B3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宋体" w:hAnsi="Calibri" w:cs="Calibri"/>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nhideWhenUsed="1" w:qFormat="1"/>
    <w:lsdException w:name="header" w:qFormat="1"/>
    <w:lsdException w:name="footer" w:qFormat="1"/>
    <w:lsdException w:name="caption" w:semiHidden="1" w:unhideWhenUsed="1" w:qFormat="1"/>
    <w:lsdException w:name="annotation reference" w:unhideWhenUsed="1" w:qFormat="1"/>
    <w:lsdException w:name="Title" w:qFormat="1"/>
    <w:lsdException w:name="Default Paragraph Font" w:semiHidden="1" w:uiPriority="1" w:unhideWhenUsed="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uiPriority="99" w:unhideWhenUsed="1" w:qFormat="1"/>
    <w:lsdException w:name="annotation subject"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qFormat="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next w:val="3"/>
    <w:qFormat/>
    <w:pPr>
      <w:spacing w:after="160" w:line="259" w:lineRule="auto"/>
    </w:pPr>
    <w:rPr>
      <w:rFonts w:cs="黑体"/>
      <w:kern w:val="2"/>
      <w:sz w:val="21"/>
      <w:szCs w:val="22"/>
    </w:rPr>
  </w:style>
  <w:style w:type="paragraph" w:styleId="1">
    <w:name w:val="heading 1"/>
    <w:basedOn w:val="a2"/>
    <w:next w:val="a2"/>
    <w:link w:val="1Char"/>
    <w:qFormat/>
    <w:pPr>
      <w:keepNext/>
      <w:keepLines/>
      <w:spacing w:before="340" w:after="330" w:line="578" w:lineRule="auto"/>
      <w:outlineLvl w:val="0"/>
    </w:pPr>
    <w:rPr>
      <w:b/>
      <w:bCs/>
      <w:kern w:val="44"/>
      <w:sz w:val="44"/>
      <w:szCs w:val="44"/>
    </w:rPr>
  </w:style>
  <w:style w:type="paragraph" w:styleId="3">
    <w:name w:val="heading 3"/>
    <w:basedOn w:val="a2"/>
    <w:next w:val="a2"/>
    <w:uiPriority w:val="9"/>
    <w:unhideWhenUsed/>
    <w:qFormat/>
    <w:pPr>
      <w:keepNext/>
      <w:keepLines/>
      <w:spacing w:before="260" w:after="260" w:line="413" w:lineRule="auto"/>
      <w:outlineLvl w:val="2"/>
    </w:pPr>
    <w:rPr>
      <w:b/>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annotation text"/>
    <w:basedOn w:val="a2"/>
    <w:link w:val="Char"/>
    <w:unhideWhenUsed/>
    <w:qFormat/>
  </w:style>
  <w:style w:type="paragraph" w:styleId="a7">
    <w:name w:val="Balloon Text"/>
    <w:basedOn w:val="a2"/>
    <w:link w:val="Char0"/>
    <w:qFormat/>
    <w:pPr>
      <w:spacing w:after="0" w:line="240" w:lineRule="auto"/>
    </w:pPr>
    <w:rPr>
      <w:sz w:val="18"/>
      <w:szCs w:val="18"/>
    </w:rPr>
  </w:style>
  <w:style w:type="paragraph" w:styleId="a8">
    <w:name w:val="footer"/>
    <w:basedOn w:val="a2"/>
    <w:qFormat/>
    <w:pPr>
      <w:tabs>
        <w:tab w:val="center" w:pos="4153"/>
        <w:tab w:val="right" w:pos="8306"/>
      </w:tabs>
      <w:snapToGrid w:val="0"/>
    </w:pPr>
    <w:rPr>
      <w:sz w:val="18"/>
    </w:rPr>
  </w:style>
  <w:style w:type="paragraph" w:styleId="a9">
    <w:name w:val="header"/>
    <w:basedOn w:val="a2"/>
    <w:qFormat/>
    <w:pPr>
      <w:pBdr>
        <w:bottom w:val="single" w:sz="6" w:space="1" w:color="auto"/>
      </w:pBdr>
      <w:tabs>
        <w:tab w:val="center" w:pos="4153"/>
        <w:tab w:val="right" w:pos="8306"/>
      </w:tabs>
      <w:snapToGrid w:val="0"/>
      <w:jc w:val="center"/>
    </w:pPr>
    <w:rPr>
      <w:sz w:val="18"/>
    </w:rPr>
  </w:style>
  <w:style w:type="paragraph" w:styleId="aa">
    <w:name w:val="annotation subject"/>
    <w:basedOn w:val="a6"/>
    <w:next w:val="a6"/>
    <w:link w:val="Char1"/>
    <w:qFormat/>
    <w:rPr>
      <w:b/>
      <w:bCs/>
    </w:rPr>
  </w:style>
  <w:style w:type="character" w:styleId="ab">
    <w:name w:val="annotation reference"/>
    <w:unhideWhenUsed/>
    <w:qFormat/>
    <w:rPr>
      <w:sz w:val="21"/>
      <w:szCs w:val="21"/>
    </w:rPr>
  </w:style>
  <w:style w:type="paragraph" w:customStyle="1" w:styleId="a">
    <w:name w:val="章标题"/>
    <w:next w:val="a2"/>
    <w:qFormat/>
    <w:pPr>
      <w:numPr>
        <w:numId w:val="1"/>
      </w:numPr>
      <w:spacing w:beforeLines="100" w:before="312" w:afterLines="100" w:after="312" w:line="259" w:lineRule="auto"/>
      <w:jc w:val="both"/>
      <w:outlineLvl w:val="1"/>
    </w:pPr>
    <w:rPr>
      <w:rFonts w:ascii="黑体" w:eastAsia="黑体" w:cs="Times New Roman"/>
      <w:sz w:val="21"/>
    </w:rPr>
  </w:style>
  <w:style w:type="paragraph" w:customStyle="1" w:styleId="ac">
    <w:name w:val="段"/>
    <w:qFormat/>
    <w:pPr>
      <w:tabs>
        <w:tab w:val="center" w:pos="4201"/>
        <w:tab w:val="right" w:leader="dot" w:pos="9298"/>
      </w:tabs>
      <w:autoSpaceDE w:val="0"/>
      <w:autoSpaceDN w:val="0"/>
      <w:spacing w:after="160" w:line="259" w:lineRule="auto"/>
      <w:ind w:firstLineChars="200" w:firstLine="420"/>
      <w:jc w:val="both"/>
    </w:pPr>
    <w:rPr>
      <w:rFonts w:ascii="宋体" w:eastAsia="仿宋_GB2312" w:cs="Times New Roman"/>
      <w:sz w:val="21"/>
    </w:rPr>
  </w:style>
  <w:style w:type="paragraph" w:customStyle="1" w:styleId="a0">
    <w:name w:val="一级条标题"/>
    <w:next w:val="ac"/>
    <w:qFormat/>
    <w:pPr>
      <w:numPr>
        <w:ilvl w:val="1"/>
        <w:numId w:val="1"/>
      </w:numPr>
      <w:spacing w:beforeLines="50" w:before="156" w:afterLines="50" w:after="156" w:line="259" w:lineRule="auto"/>
      <w:outlineLvl w:val="2"/>
    </w:pPr>
    <w:rPr>
      <w:rFonts w:ascii="黑体" w:eastAsia="黑体" w:cs="Times New Roman"/>
      <w:sz w:val="21"/>
      <w:szCs w:val="21"/>
    </w:rPr>
  </w:style>
  <w:style w:type="paragraph" w:customStyle="1" w:styleId="ad">
    <w:name w:val="二级条标题"/>
    <w:basedOn w:val="a0"/>
    <w:next w:val="ac"/>
    <w:qFormat/>
    <w:pPr>
      <w:spacing w:before="50" w:after="50"/>
      <w:outlineLvl w:val="3"/>
    </w:pPr>
  </w:style>
  <w:style w:type="paragraph" w:customStyle="1" w:styleId="ae">
    <w:name w:val="三级条标题"/>
    <w:basedOn w:val="ad"/>
    <w:next w:val="ac"/>
    <w:qFormat/>
    <w:pPr>
      <w:outlineLvl w:val="4"/>
    </w:pPr>
  </w:style>
  <w:style w:type="paragraph" w:customStyle="1" w:styleId="af">
    <w:name w:val="注：（正文）"/>
    <w:basedOn w:val="a1"/>
    <w:next w:val="ac"/>
    <w:qFormat/>
  </w:style>
  <w:style w:type="paragraph" w:customStyle="1" w:styleId="a1">
    <w:name w:val="注："/>
    <w:next w:val="ac"/>
    <w:qFormat/>
    <w:pPr>
      <w:widowControl w:val="0"/>
      <w:numPr>
        <w:numId w:val="2"/>
      </w:numPr>
      <w:autoSpaceDE w:val="0"/>
      <w:autoSpaceDN w:val="0"/>
      <w:spacing w:after="160" w:line="259" w:lineRule="auto"/>
      <w:jc w:val="both"/>
    </w:pPr>
    <w:rPr>
      <w:rFonts w:ascii="宋体" w:eastAsia="仿宋_GB2312" w:cs="Times New Roman"/>
      <w:sz w:val="18"/>
      <w:szCs w:val="18"/>
    </w:rPr>
  </w:style>
  <w:style w:type="paragraph" w:customStyle="1" w:styleId="10">
    <w:name w:val="列出段落1"/>
    <w:basedOn w:val="a2"/>
    <w:uiPriority w:val="34"/>
    <w:qFormat/>
    <w:pPr>
      <w:widowControl w:val="0"/>
      <w:spacing w:after="0" w:line="560" w:lineRule="exact"/>
      <w:ind w:firstLineChars="200" w:firstLine="420"/>
      <w:jc w:val="both"/>
    </w:pPr>
    <w:rPr>
      <w:rFonts w:ascii="仿宋" w:eastAsia="仿宋_GB2312" w:hAnsi="仿宋" w:cs="Times New Roman"/>
      <w:sz w:val="32"/>
    </w:rPr>
  </w:style>
  <w:style w:type="paragraph" w:customStyle="1" w:styleId="11">
    <w:name w:val="列表段落11"/>
    <w:basedOn w:val="a2"/>
    <w:uiPriority w:val="99"/>
    <w:qFormat/>
    <w:pPr>
      <w:ind w:firstLineChars="200" w:firstLine="420"/>
    </w:pPr>
  </w:style>
  <w:style w:type="paragraph" w:customStyle="1" w:styleId="12">
    <w:name w:val="修订1"/>
    <w:hidden/>
    <w:uiPriority w:val="99"/>
    <w:semiHidden/>
    <w:qFormat/>
    <w:rPr>
      <w:rFonts w:cs="黑体"/>
      <w:kern w:val="2"/>
      <w:sz w:val="21"/>
      <w:szCs w:val="22"/>
    </w:rPr>
  </w:style>
  <w:style w:type="character" w:customStyle="1" w:styleId="Char0">
    <w:name w:val="批注框文本 Char"/>
    <w:link w:val="a7"/>
    <w:qFormat/>
    <w:rPr>
      <w:rFonts w:cs="黑体"/>
      <w:kern w:val="2"/>
      <w:sz w:val="18"/>
      <w:szCs w:val="18"/>
    </w:rPr>
  </w:style>
  <w:style w:type="character" w:customStyle="1" w:styleId="Char">
    <w:name w:val="批注文字 Char"/>
    <w:link w:val="a6"/>
    <w:qFormat/>
    <w:rPr>
      <w:rFonts w:cs="黑体"/>
      <w:kern w:val="2"/>
      <w:sz w:val="21"/>
      <w:szCs w:val="22"/>
    </w:rPr>
  </w:style>
  <w:style w:type="character" w:customStyle="1" w:styleId="Char1">
    <w:name w:val="批注主题 Char"/>
    <w:link w:val="aa"/>
    <w:qFormat/>
    <w:rPr>
      <w:rFonts w:cs="黑体"/>
      <w:b/>
      <w:bCs/>
      <w:kern w:val="2"/>
      <w:sz w:val="21"/>
      <w:szCs w:val="22"/>
    </w:rPr>
  </w:style>
  <w:style w:type="character" w:customStyle="1" w:styleId="1Char">
    <w:name w:val="标题 1 Char"/>
    <w:link w:val="1"/>
    <w:qFormat/>
    <w:rPr>
      <w:rFonts w:cs="黑体"/>
      <w:b/>
      <w:bCs/>
      <w:kern w:val="44"/>
      <w:sz w:val="44"/>
      <w:szCs w:val="4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2049"/>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395</TotalTime>
  <Pages>7</Pages>
  <Words>683</Words>
  <Characters>3899</Characters>
  <Application>Microsoft Office Word</Application>
  <DocSecurity>0</DocSecurity>
  <Lines>32</Lines>
  <Paragraphs>9</Paragraphs>
  <ScaleCrop>false</ScaleCrop>
  <Company>nifa</Company>
  <LinksUpToDate>false</LinksUpToDate>
  <CharactersWithSpaces>4573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声明书模板及参考</dc:title>
  <dc:creator>tangqinying</dc:creator>
  <cp:lastModifiedBy>郭友德</cp:lastModifiedBy>
  <cp:revision>6</cp:revision>
  <cp:lastPrinted>2025-11-12T15:59:00Z</cp:lastPrinted>
  <dcterms:created xsi:type="dcterms:W3CDTF">2025-06-07T07:57:00Z</dcterms:created>
  <dcterms:modified xsi:type="dcterms:W3CDTF">2025-12-17T03:53:00Z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